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81B2" w14:textId="77777777" w:rsidR="00731966" w:rsidRPr="00DD3C13" w:rsidRDefault="00731966" w:rsidP="00731966">
      <w:pPr>
        <w:outlineLvl w:val="1"/>
        <w:rPr>
          <w:rFonts w:asciiTheme="majorHAnsi" w:eastAsiaTheme="majorHAnsi" w:hAnsiTheme="majorHAnsi"/>
          <w:sz w:val="24"/>
          <w:szCs w:val="24"/>
        </w:rPr>
      </w:pPr>
      <w:r w:rsidRPr="00DD3C13">
        <w:rPr>
          <w:rFonts w:asciiTheme="majorHAnsi" w:eastAsiaTheme="majorHAnsi" w:hAnsiTheme="majorHAnsi" w:hint="eastAsia"/>
          <w:sz w:val="24"/>
          <w:szCs w:val="24"/>
        </w:rPr>
        <w:t>はじめに</w:t>
      </w:r>
    </w:p>
    <w:p w14:paraId="77CB6D17" w14:textId="77777777" w:rsidR="00731966" w:rsidRPr="00BA7C62" w:rsidRDefault="00731966" w:rsidP="00731966">
      <w:pPr>
        <w:outlineLvl w:val="1"/>
        <w:rPr>
          <w:rFonts w:eastAsiaTheme="minorHAnsi"/>
        </w:rPr>
      </w:pPr>
      <w:r w:rsidRPr="00BA7C62">
        <w:rPr>
          <w:rFonts w:eastAsiaTheme="minorHAnsi" w:hint="eastAsia"/>
        </w:rPr>
        <w:t>近年人々の価値観が所有から利用に変わる中でシェアリングエコノミーサービスは私達の生活に欠かせないものとなってきている。車・衣服・高級品・スペース・スキルなど様々な分野でそのサービスが担う役割が大きくなっている。</w:t>
      </w:r>
    </w:p>
    <w:p w14:paraId="52250CFB" w14:textId="1F645775" w:rsidR="00731966" w:rsidRPr="00BA7C62" w:rsidRDefault="00731966" w:rsidP="00731966">
      <w:pPr>
        <w:pStyle w:val="2"/>
        <w:rPr>
          <w:rFonts w:asciiTheme="minorHAnsi" w:eastAsiaTheme="minorHAnsi" w:hAnsiTheme="minorHAnsi"/>
          <w:color w:val="333333"/>
          <w:szCs w:val="21"/>
          <w:shd w:val="clear" w:color="auto" w:fill="FFFFFF"/>
        </w:rPr>
      </w:pPr>
      <w:r w:rsidRPr="00BA7C62">
        <w:rPr>
          <w:rFonts w:asciiTheme="minorHAnsi" w:eastAsiaTheme="minorHAnsi" w:hAnsiTheme="minorHAnsi" w:hint="eastAsia"/>
          <w:color w:val="333333"/>
          <w:szCs w:val="21"/>
          <w:shd w:val="clear" w:color="auto" w:fill="FFFFFF"/>
        </w:rPr>
        <w:t>このサービスを支えているのがレーティング(評価</w:t>
      </w:r>
      <w:r w:rsidRPr="00BA7C62">
        <w:rPr>
          <w:rFonts w:asciiTheme="minorHAnsi" w:eastAsiaTheme="minorHAnsi" w:hAnsiTheme="minorHAnsi"/>
          <w:color w:val="333333"/>
          <w:szCs w:val="21"/>
          <w:shd w:val="clear" w:color="auto" w:fill="FFFFFF"/>
        </w:rPr>
        <w:t>)</w:t>
      </w:r>
      <w:r w:rsidRPr="00BA7C62">
        <w:rPr>
          <w:rFonts w:asciiTheme="minorHAnsi" w:eastAsiaTheme="minorHAnsi" w:hAnsiTheme="minorHAnsi" w:hint="eastAsia"/>
          <w:color w:val="333333"/>
          <w:szCs w:val="21"/>
          <w:shd w:val="clear" w:color="auto" w:fill="FFFFFF"/>
        </w:rPr>
        <w:t>制度である。多数の個人の経験や評判などの多様な情報を共有し、相互評価することによって、自分にとって未知の相手のつながりの可能性を広げている。その一方で現状のレーティング(評価</w:t>
      </w:r>
      <w:r w:rsidRPr="00BA7C62">
        <w:rPr>
          <w:rFonts w:asciiTheme="minorHAnsi" w:eastAsiaTheme="minorHAnsi" w:hAnsiTheme="minorHAnsi"/>
          <w:color w:val="333333"/>
          <w:szCs w:val="21"/>
          <w:shd w:val="clear" w:color="auto" w:fill="FFFFFF"/>
        </w:rPr>
        <w:t>)</w:t>
      </w:r>
      <w:r w:rsidRPr="00BA7C62">
        <w:rPr>
          <w:rFonts w:asciiTheme="minorHAnsi" w:eastAsiaTheme="minorHAnsi" w:hAnsiTheme="minorHAnsi" w:hint="eastAsia"/>
          <w:color w:val="333333"/>
          <w:szCs w:val="21"/>
          <w:shd w:val="clear" w:color="auto" w:fill="FFFFFF"/>
        </w:rPr>
        <w:t>だけでは相手を信頼することができないと示唆する事例も出てきた。悲惨な事件に繫がる事例もあり、社会問題の１つにな</w:t>
      </w:r>
      <w:r w:rsidR="001344AF" w:rsidRPr="00BA7C62">
        <w:rPr>
          <w:rFonts w:asciiTheme="minorHAnsi" w:eastAsiaTheme="minorHAnsi" w:hAnsiTheme="minorHAnsi" w:hint="eastAsia"/>
          <w:color w:val="333333"/>
          <w:szCs w:val="21"/>
          <w:shd w:val="clear" w:color="auto" w:fill="FFFFFF"/>
        </w:rPr>
        <w:t>っている</w:t>
      </w:r>
      <w:r w:rsidRPr="00BA7C62">
        <w:rPr>
          <w:rFonts w:asciiTheme="minorHAnsi" w:eastAsiaTheme="minorHAnsi" w:hAnsiTheme="minorHAnsi" w:hint="eastAsia"/>
          <w:color w:val="333333"/>
          <w:szCs w:val="21"/>
          <w:shd w:val="clear" w:color="auto" w:fill="FFFFFF"/>
        </w:rPr>
        <w:t>。この問題の解決策として信用スコアが活用できると考える。信用スコアを活用し、より取引相手の能力を可視化することで、</w:t>
      </w:r>
      <w:r w:rsidRPr="00BA7C62">
        <w:rPr>
          <w:rFonts w:asciiTheme="minorHAnsi" w:eastAsiaTheme="minorHAnsi" w:hAnsiTheme="minorHAnsi" w:hint="eastAsia"/>
          <w:szCs w:val="21"/>
        </w:rPr>
        <w:t>取引間でより信頼しあえる状態が構築できると考えるからだ。</w:t>
      </w:r>
    </w:p>
    <w:p w14:paraId="726FDC50" w14:textId="77777777" w:rsidR="00731966" w:rsidRPr="00BA7C62" w:rsidRDefault="00731966" w:rsidP="00731966">
      <w:pPr>
        <w:outlineLvl w:val="1"/>
        <w:rPr>
          <w:rFonts w:eastAsiaTheme="minorHAnsi"/>
        </w:rPr>
      </w:pPr>
      <w:r w:rsidRPr="00BA7C62">
        <w:rPr>
          <w:rFonts w:eastAsiaTheme="minorHAnsi" w:hint="eastAsia"/>
        </w:rPr>
        <w:t>本論文はシェアリングエコノミーサービスの現状を第一章で述べ、第二章で信用スコアの特徴・事例を紹介する。第三章では信用スコアがシェアリングエコノミーにおいてどのような役割を担うことができるかを考察していく。</w:t>
      </w:r>
    </w:p>
    <w:p w14:paraId="4863CED1" w14:textId="1A5BEDD8" w:rsidR="00731966" w:rsidRDefault="00731966" w:rsidP="00731966">
      <w:pPr>
        <w:outlineLvl w:val="1"/>
        <w:rPr>
          <w:rFonts w:asciiTheme="majorHAnsi" w:eastAsiaTheme="majorHAnsi" w:hAnsiTheme="majorHAnsi"/>
        </w:rPr>
      </w:pPr>
      <w:r>
        <w:rPr>
          <w:rFonts w:asciiTheme="majorHAnsi" w:eastAsiaTheme="majorHAnsi" w:hAnsiTheme="majorHAnsi" w:hint="eastAsia"/>
        </w:rPr>
        <w:t>第</w:t>
      </w:r>
      <w:r w:rsidR="00C62FC3">
        <w:rPr>
          <w:rFonts w:asciiTheme="majorHAnsi" w:eastAsiaTheme="majorHAnsi" w:hAnsiTheme="majorHAnsi" w:hint="eastAsia"/>
        </w:rPr>
        <w:t>1</w:t>
      </w:r>
      <w:r>
        <w:rPr>
          <w:rFonts w:asciiTheme="majorHAnsi" w:eastAsiaTheme="majorHAnsi" w:hAnsiTheme="majorHAnsi" w:hint="eastAsia"/>
        </w:rPr>
        <w:t>章</w:t>
      </w:r>
      <w:r w:rsidR="00C62FC3">
        <w:rPr>
          <w:rFonts w:asciiTheme="majorHAnsi" w:eastAsiaTheme="majorHAnsi" w:hAnsiTheme="majorHAnsi" w:hint="eastAsia"/>
        </w:rPr>
        <w:t>「シェアリングエコノミーサービスの現状」</w:t>
      </w:r>
    </w:p>
    <w:p w14:paraId="3801F52D" w14:textId="77777777" w:rsidR="00731966" w:rsidRDefault="00731966" w:rsidP="00731966">
      <w:pPr>
        <w:outlineLvl w:val="1"/>
        <w:rPr>
          <w:rFonts w:asciiTheme="majorHAnsi" w:eastAsiaTheme="majorHAnsi" w:hAnsiTheme="majorHAnsi"/>
        </w:rPr>
      </w:pPr>
      <w:r>
        <w:rPr>
          <w:rFonts w:asciiTheme="majorHAnsi" w:eastAsiaTheme="majorHAnsi" w:hAnsiTheme="majorHAnsi" w:hint="eastAsia"/>
        </w:rPr>
        <w:t>拡大する市場規模</w:t>
      </w:r>
    </w:p>
    <w:p w14:paraId="3E27A39A" w14:textId="16C6735F" w:rsidR="00731966" w:rsidRPr="00BA7C62" w:rsidRDefault="00731966" w:rsidP="00731966">
      <w:pPr>
        <w:outlineLvl w:val="1"/>
        <w:rPr>
          <w:rFonts w:eastAsiaTheme="minorHAnsi"/>
          <w:color w:val="525252"/>
          <w:szCs w:val="21"/>
          <w:shd w:val="clear" w:color="auto" w:fill="FFFFFF"/>
        </w:rPr>
      </w:pPr>
      <w:r w:rsidRPr="00D72C3C">
        <w:rPr>
          <w:rFonts w:eastAsiaTheme="minorHAnsi" w:hint="eastAsia"/>
          <w:color w:val="525252"/>
          <w:szCs w:val="21"/>
          <w:shd w:val="clear" w:color="auto" w:fill="FFFFFF"/>
        </w:rPr>
        <w:t>2</w:t>
      </w:r>
      <w:r w:rsidRPr="00BA7C62">
        <w:rPr>
          <w:rFonts w:eastAsiaTheme="minorHAnsi" w:hint="eastAsia"/>
          <w:color w:val="525252"/>
          <w:szCs w:val="21"/>
          <w:shd w:val="clear" w:color="auto" w:fill="FFFFFF"/>
        </w:rPr>
        <w:t>019年度の国内シェアリングエコノミーサービス市場規模（事業者売上高ベース）は、前年度比128.2％の1,132億円であった。(図1</w:t>
      </w:r>
      <w:r w:rsidR="000B4B19" w:rsidRPr="00BA7C62">
        <w:rPr>
          <w:rFonts w:eastAsiaTheme="minorHAnsi" w:hint="eastAsia"/>
          <w:color w:val="525252"/>
          <w:szCs w:val="21"/>
          <w:shd w:val="clear" w:color="auto" w:fill="FFFFFF"/>
        </w:rPr>
        <w:t>：出所は矢野経済研究所シェアリングエコノミーサービス調査より作成</w:t>
      </w:r>
      <w:r w:rsidRPr="00BA7C62">
        <w:rPr>
          <w:rFonts w:eastAsiaTheme="minorHAnsi"/>
          <w:color w:val="525252"/>
          <w:szCs w:val="21"/>
          <w:shd w:val="clear" w:color="auto" w:fill="FFFFFF"/>
        </w:rPr>
        <w:t>)</w:t>
      </w:r>
    </w:p>
    <w:p w14:paraId="658A566C" w14:textId="61206283" w:rsidR="00E3421E" w:rsidRPr="00BA7C62" w:rsidRDefault="00E3421E" w:rsidP="00731966">
      <w:pPr>
        <w:outlineLvl w:val="1"/>
        <w:rPr>
          <w:rFonts w:eastAsiaTheme="minorHAnsi" w:hint="eastAsia"/>
          <w:color w:val="525252"/>
          <w:szCs w:val="21"/>
          <w:shd w:val="clear" w:color="auto" w:fill="FFFFFF"/>
        </w:rPr>
      </w:pPr>
      <w:r w:rsidRPr="00BA7C62">
        <w:rPr>
          <w:rFonts w:eastAsiaTheme="minorHAnsi" w:hint="eastAsia"/>
          <w:color w:val="525252"/>
          <w:szCs w:val="21"/>
          <w:shd w:val="clear" w:color="auto" w:fill="FFFFFF"/>
        </w:rPr>
        <w:t>さらに市場予測では2</w:t>
      </w:r>
      <w:r w:rsidRPr="00BA7C62">
        <w:rPr>
          <w:rFonts w:eastAsiaTheme="minorHAnsi"/>
          <w:color w:val="525252"/>
          <w:szCs w:val="21"/>
          <w:shd w:val="clear" w:color="auto" w:fill="FFFFFF"/>
        </w:rPr>
        <w:t>024</w:t>
      </w:r>
      <w:r w:rsidRPr="00BA7C62">
        <w:rPr>
          <w:rFonts w:eastAsiaTheme="minorHAnsi" w:hint="eastAsia"/>
          <w:color w:val="525252"/>
          <w:szCs w:val="21"/>
          <w:shd w:val="clear" w:color="auto" w:fill="FFFFFF"/>
        </w:rPr>
        <w:t>年には1</w:t>
      </w:r>
      <w:r w:rsidRPr="00BA7C62">
        <w:rPr>
          <w:rFonts w:eastAsiaTheme="minorHAnsi"/>
          <w:color w:val="525252"/>
          <w:szCs w:val="21"/>
          <w:shd w:val="clear" w:color="auto" w:fill="FFFFFF"/>
        </w:rPr>
        <w:t>800</w:t>
      </w:r>
      <w:r w:rsidRPr="00BA7C62">
        <w:rPr>
          <w:rFonts w:eastAsiaTheme="minorHAnsi" w:hint="eastAsia"/>
          <w:color w:val="525252"/>
          <w:szCs w:val="21"/>
          <w:shd w:val="clear" w:color="auto" w:fill="FFFFFF"/>
        </w:rPr>
        <w:t>億円を超えると予測されている。</w:t>
      </w:r>
      <w:r w:rsidRPr="00BA7C62">
        <w:rPr>
          <w:rFonts w:eastAsiaTheme="minorHAnsi" w:hint="eastAsia"/>
          <w:color w:val="525252"/>
          <w:szCs w:val="21"/>
          <w:shd w:val="clear" w:color="auto" w:fill="FFFFFF"/>
        </w:rPr>
        <w:t>このことからもシェアリングエコノミー</w:t>
      </w:r>
      <w:r w:rsidR="00C62FC3">
        <w:rPr>
          <w:rFonts w:eastAsiaTheme="minorHAnsi" w:hint="eastAsia"/>
          <w:color w:val="525252"/>
          <w:szCs w:val="21"/>
          <w:shd w:val="clear" w:color="auto" w:fill="FFFFFF"/>
        </w:rPr>
        <w:t>サービス</w:t>
      </w:r>
      <w:r w:rsidRPr="00BA7C62">
        <w:rPr>
          <w:rFonts w:eastAsiaTheme="minorHAnsi" w:hint="eastAsia"/>
          <w:color w:val="525252"/>
          <w:szCs w:val="21"/>
          <w:shd w:val="clear" w:color="auto" w:fill="FFFFFF"/>
        </w:rPr>
        <w:t>は私達の生活に浸透して</w:t>
      </w:r>
      <w:r w:rsidRPr="00BA7C62">
        <w:rPr>
          <w:rFonts w:eastAsiaTheme="minorHAnsi" w:hint="eastAsia"/>
          <w:color w:val="525252"/>
          <w:szCs w:val="21"/>
          <w:shd w:val="clear" w:color="auto" w:fill="FFFFFF"/>
        </w:rPr>
        <w:t>行くだろうと予測できる。</w:t>
      </w:r>
    </w:p>
    <w:p w14:paraId="11BC2623" w14:textId="77777777" w:rsidR="00731966" w:rsidRPr="00BA7C62" w:rsidRDefault="00731966" w:rsidP="00731966">
      <w:pPr>
        <w:outlineLvl w:val="1"/>
        <w:rPr>
          <w:rFonts w:eastAsiaTheme="minorHAnsi"/>
          <w:color w:val="525252"/>
          <w:szCs w:val="21"/>
          <w:shd w:val="clear" w:color="auto" w:fill="FFFFFF"/>
        </w:rPr>
      </w:pPr>
    </w:p>
    <w:p w14:paraId="365FB734" w14:textId="77777777" w:rsidR="006F505B" w:rsidRDefault="00731966" w:rsidP="006F505B">
      <w:pPr>
        <w:keepNext/>
        <w:outlineLvl w:val="1"/>
      </w:pPr>
      <w:r>
        <w:rPr>
          <w:noProof/>
        </w:rPr>
        <w:lastRenderedPageBreak/>
        <w:drawing>
          <wp:inline distT="0" distB="0" distL="0" distR="0" wp14:anchorId="679C2F67" wp14:editId="3ED32698">
            <wp:extent cx="5059680" cy="3143250"/>
            <wp:effectExtent l="0" t="0" r="7620" b="0"/>
            <wp:docPr id="1" name="グラフ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A0FC25C" w14:textId="0A2D6B6E" w:rsidR="00731966" w:rsidRDefault="006F505B" w:rsidP="006F505B">
      <w:pPr>
        <w:pStyle w:val="a7"/>
      </w:pPr>
      <w:r>
        <w:rPr>
          <w:rFonts w:hint="eastAsia"/>
        </w:rPr>
        <w:t>図</w:t>
      </w:r>
      <w:r>
        <w:t xml:space="preserve"> </w:t>
      </w:r>
      <w:fldSimple w:instr=" SEQ Figure \* ARABIC ">
        <w:r>
          <w:rPr>
            <w:noProof/>
          </w:rPr>
          <w:t>1</w:t>
        </w:r>
      </w:fldSimple>
    </w:p>
    <w:p w14:paraId="49A045B9" w14:textId="1827F9CA" w:rsidR="00731966" w:rsidRPr="006F505B" w:rsidRDefault="006F505B" w:rsidP="006F505B">
      <w:pPr>
        <w:pStyle w:val="a7"/>
        <w:jc w:val="right"/>
        <w:rPr>
          <w:rFonts w:eastAsiaTheme="minorHAnsi"/>
          <w:b w:val="0"/>
          <w:bCs w:val="0"/>
          <w:color w:val="525252"/>
          <w:shd w:val="clear" w:color="auto" w:fill="FFFFFF"/>
        </w:rPr>
      </w:pPr>
      <w:r>
        <w:rPr>
          <w:rFonts w:eastAsiaTheme="minorHAnsi" w:hint="eastAsia"/>
          <w:b w:val="0"/>
          <w:bCs w:val="0"/>
          <w:color w:val="525252"/>
          <w:shd w:val="clear" w:color="auto" w:fill="FFFFFF"/>
        </w:rPr>
        <w:t>(出所：矢野経済研究所シェアリングエコノミーサービス調査より作成)</w:t>
      </w:r>
    </w:p>
    <w:p w14:paraId="249F9F41" w14:textId="77777777" w:rsidR="00731966" w:rsidRPr="00D72C3C" w:rsidRDefault="00731966" w:rsidP="00731966">
      <w:pPr>
        <w:outlineLvl w:val="1"/>
        <w:rPr>
          <w:rFonts w:eastAsiaTheme="minorHAnsi"/>
        </w:rPr>
      </w:pPr>
    </w:p>
    <w:p w14:paraId="1AAD3A50" w14:textId="77777777" w:rsidR="00731966" w:rsidRDefault="00731966" w:rsidP="00731966">
      <w:pPr>
        <w:outlineLvl w:val="1"/>
        <w:rPr>
          <w:rFonts w:asciiTheme="majorHAnsi" w:eastAsiaTheme="majorHAnsi" w:hAnsiTheme="majorHAnsi"/>
        </w:rPr>
      </w:pPr>
    </w:p>
    <w:p w14:paraId="02A2BD4C" w14:textId="77777777" w:rsidR="00731966" w:rsidRDefault="00731966" w:rsidP="00731966">
      <w:pPr>
        <w:outlineLvl w:val="1"/>
        <w:rPr>
          <w:rFonts w:asciiTheme="majorHAnsi" w:eastAsiaTheme="majorHAnsi" w:hAnsiTheme="majorHAnsi"/>
        </w:rPr>
      </w:pPr>
      <w:r>
        <w:rPr>
          <w:rFonts w:asciiTheme="majorHAnsi" w:eastAsiaTheme="majorHAnsi" w:hAnsiTheme="majorHAnsi" w:hint="eastAsia"/>
        </w:rPr>
        <w:t>シェアリングエコノミーサービスの課題</w:t>
      </w:r>
    </w:p>
    <w:p w14:paraId="3844C2DC" w14:textId="2F9FB460" w:rsidR="00731966" w:rsidRPr="00BA7C62" w:rsidRDefault="00731966" w:rsidP="00731966">
      <w:pPr>
        <w:outlineLvl w:val="1"/>
        <w:rPr>
          <w:rFonts w:asciiTheme="minorEastAsia" w:hAnsiTheme="minorEastAsia"/>
        </w:rPr>
      </w:pPr>
      <w:r w:rsidRPr="00BA7C62">
        <w:rPr>
          <w:rFonts w:asciiTheme="minorEastAsia" w:hAnsiTheme="minorEastAsia" w:hint="eastAsia"/>
        </w:rPr>
        <w:t>シェアリングサービスは登場初期からその利便性の高さに注目が集まってきた。人々の価値観が“所有”から“利用”へと変わりつつあり、それに伴って消費行動も変化し始めている。</w:t>
      </w:r>
      <w:r w:rsidR="001344AF" w:rsidRPr="00BA7C62">
        <w:rPr>
          <w:rFonts w:asciiTheme="minorEastAsia" w:hAnsiTheme="minorEastAsia" w:hint="eastAsia"/>
        </w:rPr>
        <w:t>それに伴って「</w:t>
      </w:r>
      <w:r w:rsidR="001344AF" w:rsidRPr="00BA7C62">
        <w:rPr>
          <w:rFonts w:asciiTheme="minorEastAsia" w:hAnsiTheme="minorEastAsia"/>
        </w:rPr>
        <w:t>A</w:t>
      </w:r>
      <w:r w:rsidR="001344AF" w:rsidRPr="00BA7C62">
        <w:rPr>
          <w:rFonts w:asciiTheme="minorEastAsia" w:hAnsiTheme="minorEastAsia" w:hint="eastAsia"/>
        </w:rPr>
        <w:t>irbnb」に代表される場所・空間、「Uber」に代表されるように移動手段、「クラウドワークス」</w:t>
      </w:r>
      <w:r w:rsidR="001344AF" w:rsidRPr="00BA7C62">
        <w:rPr>
          <w:rFonts w:asciiTheme="minorEastAsia" w:hAnsiTheme="minorEastAsia" w:hint="eastAsia"/>
        </w:rPr>
        <w:t>に代表される</w:t>
      </w:r>
      <w:r w:rsidR="001344AF" w:rsidRPr="00BA7C62">
        <w:rPr>
          <w:rFonts w:asciiTheme="minorEastAsia" w:hAnsiTheme="minorEastAsia" w:hint="eastAsia"/>
        </w:rPr>
        <w:t>スキルや労働力といったあらゆる分野で</w:t>
      </w:r>
      <w:r w:rsidR="00056E98" w:rsidRPr="00BA7C62">
        <w:rPr>
          <w:rFonts w:asciiTheme="minorEastAsia" w:hAnsiTheme="minorEastAsia" w:hint="eastAsia"/>
        </w:rPr>
        <w:t>シェアリングエコノミーサービス</w:t>
      </w:r>
      <w:r w:rsidR="001344AF" w:rsidRPr="00BA7C62">
        <w:rPr>
          <w:rFonts w:asciiTheme="minorEastAsia" w:hAnsiTheme="minorEastAsia" w:hint="eastAsia"/>
        </w:rPr>
        <w:t>が</w:t>
      </w:r>
      <w:r w:rsidR="00056E98" w:rsidRPr="00BA7C62">
        <w:rPr>
          <w:rFonts w:asciiTheme="minorEastAsia" w:hAnsiTheme="minorEastAsia" w:hint="eastAsia"/>
        </w:rPr>
        <w:t>発展している</w:t>
      </w:r>
      <w:r w:rsidR="001344AF" w:rsidRPr="00BA7C62">
        <w:rPr>
          <w:rFonts w:asciiTheme="minorEastAsia" w:hAnsiTheme="minorEastAsia" w:hint="eastAsia"/>
        </w:rPr>
        <w:t>。</w:t>
      </w:r>
      <w:r w:rsidR="000B4B19" w:rsidRPr="00BA7C62">
        <w:rPr>
          <w:rFonts w:asciiTheme="minorEastAsia" w:hAnsiTheme="minorEastAsia" w:hint="eastAsia"/>
        </w:rPr>
        <w:t>このような状況</w:t>
      </w:r>
      <w:r w:rsidR="00056E98" w:rsidRPr="00BA7C62">
        <w:rPr>
          <w:rFonts w:asciiTheme="minorEastAsia" w:hAnsiTheme="minorEastAsia" w:hint="eastAsia"/>
        </w:rPr>
        <w:t>を踏まえると</w:t>
      </w:r>
      <w:r w:rsidRPr="00BA7C62">
        <w:rPr>
          <w:rFonts w:asciiTheme="minorEastAsia" w:hAnsiTheme="minorEastAsia" w:hint="eastAsia"/>
        </w:rPr>
        <w:t>市場規模の拡大が示す通り、シェアリングエコノミーサービスはまさに時代に応じたサービスであると言えるだろう。しかし課題も少なくはな</w:t>
      </w:r>
      <w:r w:rsidR="000B4B19" w:rsidRPr="00BA7C62">
        <w:rPr>
          <w:rFonts w:asciiTheme="minorEastAsia" w:hAnsiTheme="minorEastAsia" w:hint="eastAsia"/>
        </w:rPr>
        <w:t>い</w:t>
      </w:r>
      <w:r w:rsidRPr="00BA7C62">
        <w:rPr>
          <w:rFonts w:asciiTheme="minorEastAsia" w:hAnsiTheme="minorEastAsia" w:hint="eastAsia"/>
        </w:rPr>
        <w:t>。その最たるものとして「利用者が信頼性とトラブル時の対応に不安を抱えている」ことが挙げられる</w:t>
      </w:r>
      <w:r w:rsidR="001344AF" w:rsidRPr="00BA7C62">
        <w:rPr>
          <w:rFonts w:asciiTheme="minorEastAsia" w:hAnsiTheme="minorEastAsia" w:hint="eastAsia"/>
        </w:rPr>
        <w:t>(図2参照</w:t>
      </w:r>
      <w:r w:rsidR="001344AF" w:rsidRPr="00BA7C62">
        <w:rPr>
          <w:rFonts w:asciiTheme="minorEastAsia" w:hAnsiTheme="minorEastAsia"/>
        </w:rPr>
        <w:t>)</w:t>
      </w:r>
      <w:r w:rsidR="001344AF" w:rsidRPr="00BA7C62">
        <w:rPr>
          <w:rFonts w:asciiTheme="minorEastAsia" w:hAnsiTheme="minorEastAsia" w:hint="eastAsia"/>
        </w:rPr>
        <w:t>。</w:t>
      </w:r>
      <w:r w:rsidRPr="00BA7C62">
        <w:rPr>
          <w:rFonts w:asciiTheme="minorEastAsia" w:hAnsiTheme="minorEastAsia" w:hint="eastAsia"/>
        </w:rPr>
        <w:t>シェアリングエコノミーサービスは</w:t>
      </w:r>
      <w:r w:rsidRPr="00BA7C62">
        <w:rPr>
          <w:rFonts w:asciiTheme="minorEastAsia" w:hAnsiTheme="minorEastAsia" w:hint="eastAsia"/>
          <w:color w:val="333333"/>
          <w:szCs w:val="21"/>
          <w:shd w:val="clear" w:color="auto" w:fill="FFFFFF"/>
        </w:rPr>
        <w:t>全くの他人同士が取引しようとする場合、サービスの提供者とユーザーをマッチングさせる仕組みを利用することが多い。この仕組を提供する企業はあくまで「場」を提供しているだけであり、そこで提供されるサービスの品質の保証や、そこで生じた損害に対する責任は、提供者が負うべきであると主張する。このようなことが起こっているため結果に対する責任と損害に対して補償する主体が曖昧な点は社会的に大きな問題となりうる危険性を孕んでいる。</w:t>
      </w:r>
    </w:p>
    <w:p w14:paraId="7038535A" w14:textId="77777777" w:rsidR="006F505B" w:rsidRDefault="006F505B" w:rsidP="006F505B">
      <w:pPr>
        <w:keepNext/>
        <w:jc w:val="right"/>
        <w:outlineLvl w:val="1"/>
      </w:pPr>
      <w:r>
        <w:rPr>
          <w:noProof/>
        </w:rPr>
        <w:lastRenderedPageBreak/>
        <w:drawing>
          <wp:inline distT="0" distB="0" distL="0" distR="0" wp14:anchorId="7B4E8359" wp14:editId="6FD8EAF1">
            <wp:extent cx="5400040" cy="3114040"/>
            <wp:effectExtent l="0" t="0" r="10160" b="10160"/>
            <wp:docPr id="2" name="グラフ 2">
              <a:extLst xmlns:a="http://schemas.openxmlformats.org/drawingml/2006/main">
                <a:ext uri="{FF2B5EF4-FFF2-40B4-BE49-F238E27FC236}">
                  <a16:creationId xmlns:a16="http://schemas.microsoft.com/office/drawing/2014/main" id="{7014EB18-3FD3-489A-A9A6-707B31666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E295AA" w14:textId="06958D7D" w:rsidR="006F505B" w:rsidRDefault="006F505B" w:rsidP="006F505B">
      <w:pPr>
        <w:pStyle w:val="a7"/>
        <w:jc w:val="left"/>
      </w:pPr>
      <w:r>
        <w:rPr>
          <w:rFonts w:hint="eastAsia"/>
        </w:rPr>
        <w:t>図</w:t>
      </w:r>
      <w:r>
        <w:t xml:space="preserve"> </w:t>
      </w:r>
      <w:fldSimple w:instr=" SEQ Figure \* ARABIC ">
        <w:r>
          <w:rPr>
            <w:noProof/>
          </w:rPr>
          <w:t>2</w:t>
        </w:r>
      </w:fldSimple>
    </w:p>
    <w:p w14:paraId="40F438E2" w14:textId="034103B8" w:rsidR="00731966" w:rsidRPr="00101EF6" w:rsidRDefault="006F505B" w:rsidP="006F505B">
      <w:pPr>
        <w:jc w:val="right"/>
        <w:outlineLvl w:val="1"/>
        <w:rPr>
          <w:rFonts w:asciiTheme="majorHAnsi" w:eastAsiaTheme="majorHAnsi" w:hAnsiTheme="majorHAnsi"/>
        </w:rPr>
      </w:pPr>
      <w:r>
        <w:rPr>
          <w:rFonts w:asciiTheme="majorHAnsi" w:eastAsiaTheme="majorHAnsi" w:hAnsiTheme="majorHAnsi" w:hint="eastAsia"/>
        </w:rPr>
        <w:t>(出所：P</w:t>
      </w:r>
      <w:r>
        <w:rPr>
          <w:rFonts w:asciiTheme="majorHAnsi" w:eastAsiaTheme="majorHAnsi" w:hAnsiTheme="majorHAnsi"/>
        </w:rPr>
        <w:t>WC</w:t>
      </w:r>
      <w:r>
        <w:rPr>
          <w:rFonts w:asciiTheme="majorHAnsi" w:eastAsiaTheme="majorHAnsi" w:hAnsiTheme="majorHAnsi" w:hint="eastAsia"/>
        </w:rPr>
        <w:t>国内シェアリングエコノミーに対する意識調査より作成</w:t>
      </w:r>
      <w:r>
        <w:rPr>
          <w:rFonts w:asciiTheme="majorHAnsi" w:eastAsiaTheme="majorHAnsi" w:hAnsiTheme="majorHAnsi"/>
        </w:rPr>
        <w:t>)</w:t>
      </w:r>
    </w:p>
    <w:p w14:paraId="7437011A" w14:textId="77777777" w:rsidR="00731966" w:rsidRPr="00BA7C62" w:rsidRDefault="00731966" w:rsidP="00731966">
      <w:pPr>
        <w:outlineLvl w:val="1"/>
        <w:rPr>
          <w:rFonts w:asciiTheme="majorEastAsia" w:eastAsiaTheme="majorEastAsia" w:hAnsiTheme="majorEastAsia"/>
        </w:rPr>
      </w:pPr>
      <w:r w:rsidRPr="00BA7C62">
        <w:rPr>
          <w:rFonts w:asciiTheme="majorEastAsia" w:eastAsiaTheme="majorEastAsia" w:hAnsiTheme="majorEastAsia" w:hint="eastAsia"/>
        </w:rPr>
        <w:t>顕在化したサービス利用での「信用」問題</w:t>
      </w:r>
    </w:p>
    <w:p w14:paraId="2F7B785C" w14:textId="0D78FA73" w:rsidR="007C353D" w:rsidRPr="00BA7C62" w:rsidRDefault="00091589">
      <w:pPr>
        <w:widowControl/>
        <w:jc w:val="left"/>
        <w:rPr>
          <w:rFonts w:asciiTheme="minorEastAsia" w:hAnsiTheme="minorEastAsia"/>
        </w:rPr>
      </w:pPr>
      <w:r w:rsidRPr="00BA7C62">
        <w:rPr>
          <w:rFonts w:asciiTheme="minorEastAsia" w:hAnsiTheme="minorEastAsia" w:hint="eastAsia"/>
        </w:rPr>
        <w:t>前述した</w:t>
      </w:r>
      <w:r w:rsidR="00731966" w:rsidRPr="00BA7C62">
        <w:rPr>
          <w:rFonts w:asciiTheme="minorEastAsia" w:hAnsiTheme="minorEastAsia" w:hint="eastAsia"/>
        </w:rPr>
        <w:t>危険性が事件となって表面化したのがカラマズー事件だ。</w:t>
      </w:r>
      <w:r w:rsidR="00056E98" w:rsidRPr="00BA7C62">
        <w:rPr>
          <w:rFonts w:asciiTheme="minorEastAsia" w:hAnsiTheme="minorEastAsia" w:hint="eastAsia"/>
        </w:rPr>
        <w:t>2</w:t>
      </w:r>
      <w:r w:rsidR="00056E98" w:rsidRPr="00BA7C62">
        <w:rPr>
          <w:rFonts w:asciiTheme="minorEastAsia" w:hAnsiTheme="minorEastAsia"/>
        </w:rPr>
        <w:t>016</w:t>
      </w:r>
      <w:r w:rsidR="00056E98" w:rsidRPr="00BA7C62">
        <w:rPr>
          <w:rFonts w:asciiTheme="minorEastAsia" w:hAnsiTheme="minorEastAsia" w:hint="eastAsia"/>
        </w:rPr>
        <w:t>年アメリカミシガン州</w:t>
      </w:r>
      <w:r w:rsidR="008E69EE" w:rsidRPr="00BA7C62">
        <w:rPr>
          <w:rFonts w:asciiTheme="minorEastAsia" w:hAnsiTheme="minorEastAsia" w:hint="eastAsia"/>
        </w:rPr>
        <w:t>のカラマズー郡で</w:t>
      </w:r>
      <w:r w:rsidR="00C80D27" w:rsidRPr="00BA7C62">
        <w:rPr>
          <w:rFonts w:asciiTheme="minorEastAsia" w:hAnsiTheme="minorEastAsia" w:hint="eastAsia"/>
        </w:rPr>
        <w:t>ウーバー</w:t>
      </w:r>
      <w:r w:rsidR="008E69EE" w:rsidRPr="00BA7C62">
        <w:rPr>
          <w:rFonts w:asciiTheme="minorEastAsia" w:hAnsiTheme="minorEastAsia" w:hint="eastAsia"/>
        </w:rPr>
        <w:t>のドライバー</w:t>
      </w:r>
      <w:r w:rsidR="008E69EE" w:rsidRPr="00BA7C62">
        <w:rPr>
          <w:rFonts w:asciiTheme="minorEastAsia" w:hAnsiTheme="minorEastAsia" w:hint="eastAsia"/>
        </w:rPr>
        <w:t>による銃乱射事件が起こった。</w:t>
      </w:r>
    </w:p>
    <w:p w14:paraId="1A823058" w14:textId="669CBDF3" w:rsidR="008E69EE" w:rsidRPr="00BA7C62" w:rsidRDefault="00C80D27">
      <w:pPr>
        <w:widowControl/>
        <w:jc w:val="left"/>
        <w:rPr>
          <w:rFonts w:asciiTheme="minorEastAsia" w:hAnsiTheme="minorEastAsia" w:hint="eastAsia"/>
        </w:rPr>
      </w:pPr>
      <w:r w:rsidRPr="00BA7C62">
        <w:rPr>
          <w:rFonts w:asciiTheme="minorEastAsia" w:hAnsiTheme="minorEastAsia" w:hint="eastAsia"/>
        </w:rPr>
        <w:t>この悲惨な事件後ウーバーはドライバーの適性と安全性の見極めについて厳しく追求をうけることになった。しかしウーバーは「</w:t>
      </w:r>
      <w:r w:rsidR="008E69EE" w:rsidRPr="00BA7C62">
        <w:rPr>
          <w:rFonts w:asciiTheme="minorEastAsia" w:hAnsiTheme="minorEastAsia" w:hint="eastAsia"/>
        </w:rPr>
        <w:t>このドライバーのレーティングは5点中4</w:t>
      </w:r>
      <w:r w:rsidR="008E69EE" w:rsidRPr="00BA7C62">
        <w:rPr>
          <w:rFonts w:asciiTheme="minorEastAsia" w:hAnsiTheme="minorEastAsia"/>
        </w:rPr>
        <w:t>.72</w:t>
      </w:r>
      <w:r w:rsidR="008E69EE" w:rsidRPr="00BA7C62">
        <w:rPr>
          <w:rFonts w:asciiTheme="minorEastAsia" w:hAnsiTheme="minorEastAsia" w:hint="eastAsia"/>
        </w:rPr>
        <w:t>点であり</w:t>
      </w:r>
      <w:r w:rsidRPr="00BA7C62">
        <w:rPr>
          <w:rFonts w:asciiTheme="minorEastAsia" w:hAnsiTheme="minorEastAsia" w:hint="eastAsia"/>
        </w:rPr>
        <w:t>経歴照会にも合格していた」と証言し事件の予測は不可能であったとして責任はないと主張した。</w:t>
      </w:r>
    </w:p>
    <w:p w14:paraId="065EF57B" w14:textId="2F981F74" w:rsidR="00C62FC3" w:rsidRDefault="00C80D27" w:rsidP="00731966">
      <w:r>
        <w:rPr>
          <w:rFonts w:hint="eastAsia"/>
        </w:rPr>
        <w:t>このカラマズー事件についての一連の流れはレーティング制度の限界を示している。レーティングだけでは相手を信頼するには不十分であり、シェアリング</w:t>
      </w:r>
      <w:r w:rsidR="00C62FC3">
        <w:rPr>
          <w:rFonts w:hint="eastAsia"/>
        </w:rPr>
        <w:t>エコノミー</w:t>
      </w:r>
      <w:r>
        <w:rPr>
          <w:rFonts w:hint="eastAsia"/>
        </w:rPr>
        <w:t>サービスのようにプラットフォームを介する取引にはより強固な</w:t>
      </w:r>
      <w:r w:rsidR="00BA7C62">
        <w:rPr>
          <w:rFonts w:hint="eastAsia"/>
        </w:rPr>
        <w:t>信用</w:t>
      </w:r>
      <w:r>
        <w:rPr>
          <w:rFonts w:hint="eastAsia"/>
        </w:rPr>
        <w:t>を保証する仕組みが必要であるとこの事件は世界に知らしめた。</w:t>
      </w:r>
    </w:p>
    <w:p w14:paraId="79FB65CD" w14:textId="070AD5ED" w:rsidR="00C62FC3" w:rsidRDefault="00C62FC3" w:rsidP="00731966">
      <w:pPr>
        <w:rPr>
          <w:rFonts w:hint="eastAsia"/>
        </w:rPr>
      </w:pPr>
      <w:r>
        <w:rPr>
          <w:rFonts w:hint="eastAsia"/>
        </w:rPr>
        <w:t>第2章</w:t>
      </w:r>
    </w:p>
    <w:p w14:paraId="15C13749" w14:textId="42543445" w:rsidR="00C62FC3" w:rsidRPr="00C80D27" w:rsidRDefault="00C62FC3" w:rsidP="00731966">
      <w:pPr>
        <w:rPr>
          <w:rFonts w:hint="eastAsia"/>
        </w:rPr>
      </w:pPr>
      <w:r>
        <w:rPr>
          <w:rFonts w:hint="eastAsia"/>
        </w:rPr>
        <w:t>第2章では信用を保証する仕組みである信用スコアの事例について述べる。</w:t>
      </w:r>
    </w:p>
    <w:sectPr w:rsidR="00C62FC3" w:rsidRPr="00C80D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EA4F" w14:textId="77777777" w:rsidR="0090705F" w:rsidRDefault="0090705F" w:rsidP="0090705F">
      <w:r>
        <w:separator/>
      </w:r>
    </w:p>
  </w:endnote>
  <w:endnote w:type="continuationSeparator" w:id="0">
    <w:p w14:paraId="53FE347F" w14:textId="77777777" w:rsidR="0090705F" w:rsidRDefault="0090705F" w:rsidP="0090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9685" w14:textId="77777777" w:rsidR="0090705F" w:rsidRDefault="0090705F" w:rsidP="0090705F">
      <w:r>
        <w:separator/>
      </w:r>
    </w:p>
  </w:footnote>
  <w:footnote w:type="continuationSeparator" w:id="0">
    <w:p w14:paraId="66047920" w14:textId="77777777" w:rsidR="0090705F" w:rsidRDefault="0090705F" w:rsidP="0090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F7"/>
    <w:rsid w:val="00056E98"/>
    <w:rsid w:val="00091589"/>
    <w:rsid w:val="000B4B19"/>
    <w:rsid w:val="001344AF"/>
    <w:rsid w:val="001D1192"/>
    <w:rsid w:val="00283FF7"/>
    <w:rsid w:val="006E1B4C"/>
    <w:rsid w:val="006F505B"/>
    <w:rsid w:val="007139B6"/>
    <w:rsid w:val="00731966"/>
    <w:rsid w:val="007C353D"/>
    <w:rsid w:val="008E69EE"/>
    <w:rsid w:val="0090705F"/>
    <w:rsid w:val="00BA7C62"/>
    <w:rsid w:val="00C62FC3"/>
    <w:rsid w:val="00C80D27"/>
    <w:rsid w:val="00E3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BF4FB5"/>
  <w15:chartTrackingRefBased/>
  <w15:docId w15:val="{F1BFD787-F1D6-44B3-9320-36FD12C2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966"/>
    <w:pPr>
      <w:widowControl w:val="0"/>
      <w:jc w:val="both"/>
    </w:pPr>
  </w:style>
  <w:style w:type="paragraph" w:styleId="1">
    <w:name w:val="heading 1"/>
    <w:basedOn w:val="a"/>
    <w:next w:val="a"/>
    <w:link w:val="10"/>
    <w:uiPriority w:val="9"/>
    <w:qFormat/>
    <w:rsid w:val="00283F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70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FF7"/>
    <w:rPr>
      <w:rFonts w:asciiTheme="majorHAnsi" w:eastAsiaTheme="majorEastAsia" w:hAnsiTheme="majorHAnsi" w:cstheme="majorBidi"/>
      <w:sz w:val="24"/>
      <w:szCs w:val="24"/>
    </w:rPr>
  </w:style>
  <w:style w:type="paragraph" w:styleId="a3">
    <w:name w:val="header"/>
    <w:basedOn w:val="a"/>
    <w:link w:val="a4"/>
    <w:uiPriority w:val="99"/>
    <w:unhideWhenUsed/>
    <w:rsid w:val="0090705F"/>
    <w:pPr>
      <w:tabs>
        <w:tab w:val="center" w:pos="4252"/>
        <w:tab w:val="right" w:pos="8504"/>
      </w:tabs>
      <w:snapToGrid w:val="0"/>
    </w:pPr>
  </w:style>
  <w:style w:type="character" w:customStyle="1" w:styleId="a4">
    <w:name w:val="ヘッダー (文字)"/>
    <w:basedOn w:val="a0"/>
    <w:link w:val="a3"/>
    <w:uiPriority w:val="99"/>
    <w:rsid w:val="0090705F"/>
  </w:style>
  <w:style w:type="paragraph" w:styleId="a5">
    <w:name w:val="footer"/>
    <w:basedOn w:val="a"/>
    <w:link w:val="a6"/>
    <w:uiPriority w:val="99"/>
    <w:unhideWhenUsed/>
    <w:rsid w:val="0090705F"/>
    <w:pPr>
      <w:tabs>
        <w:tab w:val="center" w:pos="4252"/>
        <w:tab w:val="right" w:pos="8504"/>
      </w:tabs>
      <w:snapToGrid w:val="0"/>
    </w:pPr>
  </w:style>
  <w:style w:type="character" w:customStyle="1" w:styleId="a6">
    <w:name w:val="フッター (文字)"/>
    <w:basedOn w:val="a0"/>
    <w:link w:val="a5"/>
    <w:uiPriority w:val="99"/>
    <w:rsid w:val="0090705F"/>
  </w:style>
  <w:style w:type="character" w:customStyle="1" w:styleId="20">
    <w:name w:val="見出し 2 (文字)"/>
    <w:basedOn w:val="a0"/>
    <w:link w:val="2"/>
    <w:uiPriority w:val="9"/>
    <w:rsid w:val="0090705F"/>
    <w:rPr>
      <w:rFonts w:asciiTheme="majorHAnsi" w:eastAsiaTheme="majorEastAsia" w:hAnsiTheme="majorHAnsi" w:cstheme="majorBidi"/>
    </w:rPr>
  </w:style>
  <w:style w:type="paragraph" w:styleId="a7">
    <w:name w:val="caption"/>
    <w:basedOn w:val="a"/>
    <w:next w:val="a"/>
    <w:uiPriority w:val="35"/>
    <w:unhideWhenUsed/>
    <w:qFormat/>
    <w:rsid w:val="0090705F"/>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https://d.docs.live.net/87d530e64d6a9bc0/&#12489;&#12461;&#12517;&#12513;&#12531;&#12488;/&#22823;&#23398;&#35506;&#38988;/&#21330;&#35542;&#12479;&#12452;&#12512;&#12521;&#12452;&#1253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7d530e64d6a9bc0/&#12489;&#12461;&#12517;&#12513;&#12531;&#12488;/&#22823;&#23398;&#35506;&#38988;/&#21330;&#35542;&#12479;&#12452;&#12512;&#12521;&#12452;&#1253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シェアリングエコノミーサービス市場規模・予測</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市場規模</c:v>
                </c:pt>
              </c:strCache>
            </c:strRef>
          </c:tx>
          <c:spPr>
            <a:solidFill>
              <a:schemeClr val="accent1"/>
            </a:solidFill>
            <a:ln>
              <a:noFill/>
            </a:ln>
            <a:effectLst/>
          </c:spPr>
          <c:invertIfNegative val="0"/>
          <c:dLbls>
            <c:dLbl>
              <c:idx val="2"/>
              <c:layout>
                <c:manualLayout>
                  <c:x val="5.555555555555453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77-476D-9428-4459252E2D46}"/>
                </c:ext>
              </c:extLst>
            </c:dLbl>
            <c:dLbl>
              <c:idx val="3"/>
              <c:layout>
                <c:manualLayout>
                  <c:x val="0"/>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77-476D-9428-4459252E2D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Sheet1!$B$2:$B$7</c:f>
              <c:numCache>
                <c:formatCode>#,##0</c:formatCode>
                <c:ptCount val="6"/>
                <c:pt idx="0">
                  <c:v>1132</c:v>
                </c:pt>
                <c:pt idx="1">
                  <c:v>1097</c:v>
                </c:pt>
                <c:pt idx="2">
                  <c:v>1215</c:v>
                </c:pt>
                <c:pt idx="3">
                  <c:v>1455</c:v>
                </c:pt>
                <c:pt idx="4">
                  <c:v>1624</c:v>
                </c:pt>
                <c:pt idx="5">
                  <c:v>1806</c:v>
                </c:pt>
              </c:numCache>
            </c:numRef>
          </c:val>
          <c:extLst>
            <c:ext xmlns:c16="http://schemas.microsoft.com/office/drawing/2014/chart" uri="{C3380CC4-5D6E-409C-BE32-E72D297353CC}">
              <c16:uniqueId val="{00000002-4B77-476D-9428-4459252E2D46}"/>
            </c:ext>
          </c:extLst>
        </c:ser>
        <c:dLbls>
          <c:showLegendKey val="0"/>
          <c:showVal val="1"/>
          <c:showCatName val="0"/>
          <c:showSerName val="0"/>
          <c:showPercent val="0"/>
          <c:showBubbleSize val="0"/>
        </c:dLbls>
        <c:gapWidth val="219"/>
        <c:overlap val="-27"/>
        <c:axId val="1141555280"/>
        <c:axId val="1141552784"/>
      </c:barChart>
      <c:lineChart>
        <c:grouping val="standard"/>
        <c:varyColors val="0"/>
        <c:ser>
          <c:idx val="1"/>
          <c:order val="1"/>
          <c:tx>
            <c:strRef>
              <c:f>Sheet1!$C$1</c:f>
              <c:strCache>
                <c:ptCount val="1"/>
                <c:pt idx="0">
                  <c:v>年平均成長率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Sheet1!$C$2:$C$7</c:f>
              <c:numCache>
                <c:formatCode>0%</c:formatCode>
                <c:ptCount val="6"/>
                <c:pt idx="1">
                  <c:v>0.96899999999999997</c:v>
                </c:pt>
                <c:pt idx="2">
                  <c:v>1.107</c:v>
                </c:pt>
                <c:pt idx="3">
                  <c:v>1.1970000000000001</c:v>
                </c:pt>
                <c:pt idx="4">
                  <c:v>1.1160000000000001</c:v>
                </c:pt>
                <c:pt idx="5">
                  <c:v>1.1100000000000001</c:v>
                </c:pt>
              </c:numCache>
            </c:numRef>
          </c:val>
          <c:smooth val="0"/>
          <c:extLst>
            <c:ext xmlns:c16="http://schemas.microsoft.com/office/drawing/2014/chart" uri="{C3380CC4-5D6E-409C-BE32-E72D297353CC}">
              <c16:uniqueId val="{00000003-4B77-476D-9428-4459252E2D46}"/>
            </c:ext>
          </c:extLst>
        </c:ser>
        <c:dLbls>
          <c:showLegendKey val="0"/>
          <c:showVal val="1"/>
          <c:showCatName val="0"/>
          <c:showSerName val="0"/>
          <c:showPercent val="0"/>
          <c:showBubbleSize val="0"/>
        </c:dLbls>
        <c:marker val="1"/>
        <c:smooth val="0"/>
        <c:axId val="1141554448"/>
        <c:axId val="1141554032"/>
      </c:lineChart>
      <c:catAx>
        <c:axId val="114155528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2784"/>
        <c:crosses val="autoZero"/>
        <c:auto val="1"/>
        <c:lblAlgn val="ctr"/>
        <c:lblOffset val="100"/>
        <c:noMultiLvlLbl val="0"/>
      </c:catAx>
      <c:valAx>
        <c:axId val="114155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5280"/>
        <c:crosses val="autoZero"/>
        <c:crossBetween val="between"/>
      </c:valAx>
      <c:valAx>
        <c:axId val="114155403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448"/>
        <c:crosses val="max"/>
        <c:crossBetween val="between"/>
      </c:valAx>
      <c:catAx>
        <c:axId val="1141554448"/>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03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00" baseline="0"/>
              <a:t>シェアリングエコノミーサービスを利用する際の懸念事項</a:t>
            </a:r>
            <a:endParaRPr lang="en-US" altLang="ja-JP" sz="1000" baseline="0"/>
          </a:p>
          <a:p>
            <a:pPr>
              <a:defRPr/>
            </a:pPr>
            <a:r>
              <a:rPr lang="ja-JP" altLang="en-US" sz="1000"/>
              <a:t>「利用者として</a:t>
            </a:r>
            <a:r>
              <a:rPr lang="en-US" altLang="ja-JP" sz="1000"/>
              <a:t>N</a:t>
            </a:r>
            <a:r>
              <a:rPr lang="ja-JP" altLang="en-US" sz="1000"/>
              <a:t>：</a:t>
            </a:r>
            <a:r>
              <a:rPr lang="en-US" altLang="ja-JP" sz="1000"/>
              <a:t>2,000</a:t>
            </a:r>
            <a:r>
              <a:rPr lang="ja-JP" altLang="en-US" sz="10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Sheet2!$B$1</c:f>
              <c:strCache>
                <c:ptCount val="1"/>
                <c:pt idx="0">
                  <c:v>場所・空間</c:v>
                </c:pt>
              </c:strCache>
            </c:strRef>
          </c:tx>
          <c:spPr>
            <a:solidFill>
              <a:schemeClr val="accent1"/>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Sheet2!$B$2:$B$12</c:f>
              <c:numCache>
                <c:formatCode>General</c:formatCode>
                <c:ptCount val="11"/>
                <c:pt idx="0">
                  <c:v>28</c:v>
                </c:pt>
                <c:pt idx="1">
                  <c:v>24</c:v>
                </c:pt>
                <c:pt idx="2">
                  <c:v>21</c:v>
                </c:pt>
                <c:pt idx="3">
                  <c:v>23</c:v>
                </c:pt>
                <c:pt idx="4">
                  <c:v>22</c:v>
                </c:pt>
                <c:pt idx="5">
                  <c:v>17</c:v>
                </c:pt>
                <c:pt idx="6">
                  <c:v>16</c:v>
                </c:pt>
                <c:pt idx="7">
                  <c:v>7</c:v>
                </c:pt>
                <c:pt idx="8">
                  <c:v>3</c:v>
                </c:pt>
                <c:pt idx="9">
                  <c:v>14</c:v>
                </c:pt>
                <c:pt idx="10">
                  <c:v>2</c:v>
                </c:pt>
              </c:numCache>
            </c:numRef>
          </c:val>
          <c:extLst>
            <c:ext xmlns:c16="http://schemas.microsoft.com/office/drawing/2014/chart" uri="{C3380CC4-5D6E-409C-BE32-E72D297353CC}">
              <c16:uniqueId val="{00000000-EDFF-4F75-A5BA-D37C3A1A68F4}"/>
            </c:ext>
          </c:extLst>
        </c:ser>
        <c:ser>
          <c:idx val="1"/>
          <c:order val="1"/>
          <c:tx>
            <c:strRef>
              <c:f>Sheet2!$C$1</c:f>
              <c:strCache>
                <c:ptCount val="1"/>
                <c:pt idx="0">
                  <c:v>移動手段</c:v>
                </c:pt>
              </c:strCache>
            </c:strRef>
          </c:tx>
          <c:spPr>
            <a:solidFill>
              <a:schemeClr val="accent2"/>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Sheet2!$C$2:$C$12</c:f>
              <c:numCache>
                <c:formatCode>General</c:formatCode>
                <c:ptCount val="11"/>
                <c:pt idx="0">
                  <c:v>33</c:v>
                </c:pt>
                <c:pt idx="1">
                  <c:v>21</c:v>
                </c:pt>
                <c:pt idx="2">
                  <c:v>18</c:v>
                </c:pt>
                <c:pt idx="3">
                  <c:v>23</c:v>
                </c:pt>
                <c:pt idx="4">
                  <c:v>24</c:v>
                </c:pt>
                <c:pt idx="5">
                  <c:v>13</c:v>
                </c:pt>
                <c:pt idx="6">
                  <c:v>16</c:v>
                </c:pt>
                <c:pt idx="7">
                  <c:v>7</c:v>
                </c:pt>
                <c:pt idx="8">
                  <c:v>4</c:v>
                </c:pt>
                <c:pt idx="9">
                  <c:v>9</c:v>
                </c:pt>
                <c:pt idx="10">
                  <c:v>3</c:v>
                </c:pt>
              </c:numCache>
            </c:numRef>
          </c:val>
          <c:extLst>
            <c:ext xmlns:c16="http://schemas.microsoft.com/office/drawing/2014/chart" uri="{C3380CC4-5D6E-409C-BE32-E72D297353CC}">
              <c16:uniqueId val="{00000001-EDFF-4F75-A5BA-D37C3A1A68F4}"/>
            </c:ext>
          </c:extLst>
        </c:ser>
        <c:ser>
          <c:idx val="2"/>
          <c:order val="2"/>
          <c:tx>
            <c:strRef>
              <c:f>Sheet2!$D$1</c:f>
              <c:strCache>
                <c:ptCount val="1"/>
                <c:pt idx="0">
                  <c:v>家事手伝いなどのスキルや労働力</c:v>
                </c:pt>
              </c:strCache>
            </c:strRef>
          </c:tx>
          <c:spPr>
            <a:solidFill>
              <a:schemeClr val="accent3"/>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Sheet2!$D$2:$D$12</c:f>
              <c:numCache>
                <c:formatCode>General</c:formatCode>
                <c:ptCount val="11"/>
                <c:pt idx="0">
                  <c:v>23</c:v>
                </c:pt>
                <c:pt idx="1">
                  <c:v>20</c:v>
                </c:pt>
                <c:pt idx="2">
                  <c:v>21</c:v>
                </c:pt>
                <c:pt idx="3">
                  <c:v>23</c:v>
                </c:pt>
                <c:pt idx="4">
                  <c:v>16</c:v>
                </c:pt>
                <c:pt idx="5">
                  <c:v>13</c:v>
                </c:pt>
                <c:pt idx="6">
                  <c:v>14</c:v>
                </c:pt>
                <c:pt idx="7">
                  <c:v>7</c:v>
                </c:pt>
                <c:pt idx="8">
                  <c:v>3</c:v>
                </c:pt>
                <c:pt idx="9">
                  <c:v>11</c:v>
                </c:pt>
                <c:pt idx="10">
                  <c:v>2</c:v>
                </c:pt>
              </c:numCache>
            </c:numRef>
          </c:val>
          <c:extLst>
            <c:ext xmlns:c16="http://schemas.microsoft.com/office/drawing/2014/chart" uri="{C3380CC4-5D6E-409C-BE32-E72D297353CC}">
              <c16:uniqueId val="{00000002-EDFF-4F75-A5BA-D37C3A1A68F4}"/>
            </c:ext>
          </c:extLst>
        </c:ser>
        <c:dLbls>
          <c:showLegendKey val="0"/>
          <c:showVal val="0"/>
          <c:showCatName val="0"/>
          <c:showSerName val="0"/>
          <c:showPercent val="0"/>
          <c:showBubbleSize val="0"/>
        </c:dLbls>
        <c:gapWidth val="150"/>
        <c:overlap val="100"/>
        <c:axId val="2099835087"/>
        <c:axId val="2099835919"/>
      </c:barChart>
      <c:catAx>
        <c:axId val="2099835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919"/>
        <c:crosses val="autoZero"/>
        <c:auto val="1"/>
        <c:lblAlgn val="ctr"/>
        <c:lblOffset val="100"/>
        <c:noMultiLvlLbl val="0"/>
      </c:catAx>
      <c:valAx>
        <c:axId val="20998359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0.08194</cdr:y>
    </cdr:from>
    <cdr:to>
      <cdr:x>0.2</cdr:x>
      <cdr:y>0.41528</cdr:y>
    </cdr:to>
    <cdr:sp macro="" textlink="">
      <cdr:nvSpPr>
        <cdr:cNvPr id="2" name="テキスト ボックス 1">
          <a:extLst xmlns:a="http://schemas.openxmlformats.org/drawingml/2006/main">
            <a:ext uri="{FF2B5EF4-FFF2-40B4-BE49-F238E27FC236}">
              <a16:creationId xmlns:a16="http://schemas.microsoft.com/office/drawing/2014/main" id="{E30B0A6C-2232-49C1-9397-5C9E647DAE8F}"/>
            </a:ext>
          </a:extLst>
        </cdr:cNvPr>
        <cdr:cNvSpPr txBox="1"/>
      </cdr:nvSpPr>
      <cdr:spPr>
        <a:xfrm xmlns:a="http://schemas.openxmlformats.org/drawingml/2006/main">
          <a:off x="0" y="22479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800"/>
            <a:t>単位：億円</a:t>
          </a:r>
        </a:p>
      </cdr:txBody>
    </cdr:sp>
  </cdr:relSizeAnchor>
  <cdr:relSizeAnchor xmlns:cdr="http://schemas.openxmlformats.org/drawingml/2006/chartDrawing">
    <cdr:from>
      <cdr:x>0.30271</cdr:x>
      <cdr:y>0.8303</cdr:y>
    </cdr:from>
    <cdr:to>
      <cdr:x>0.38404</cdr:x>
      <cdr:y>1</cdr:y>
    </cdr:to>
    <cdr:sp macro="" textlink="">
      <cdr:nvSpPr>
        <cdr:cNvPr id="3" name="テキスト ボックス 2">
          <a:extLst xmlns:a="http://schemas.openxmlformats.org/drawingml/2006/main">
            <a:ext uri="{FF2B5EF4-FFF2-40B4-BE49-F238E27FC236}">
              <a16:creationId xmlns:a16="http://schemas.microsoft.com/office/drawing/2014/main" id="{4371CE09-FF0E-407D-ABBF-D56677F22B2E}"/>
            </a:ext>
          </a:extLst>
        </cdr:cNvPr>
        <cdr:cNvSpPr txBox="1"/>
      </cdr:nvSpPr>
      <cdr:spPr>
        <a:xfrm xmlns:a="http://schemas.openxmlformats.org/drawingml/2006/main">
          <a:off x="1531620" y="2609850"/>
          <a:ext cx="41148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800"/>
        </a:p>
      </cdr:txBody>
    </cdr:sp>
  </cdr:relSizeAnchor>
  <cdr:relSizeAnchor xmlns:cdr="http://schemas.openxmlformats.org/drawingml/2006/chartDrawing">
    <cdr:from>
      <cdr:x>0.71536</cdr:x>
      <cdr:y>0.70909</cdr:y>
    </cdr:from>
    <cdr:to>
      <cdr:x>0.89608</cdr:x>
      <cdr:y>1</cdr:y>
    </cdr:to>
    <cdr:sp macro="" textlink="">
      <cdr:nvSpPr>
        <cdr:cNvPr id="4" name="テキスト ボックス 3"/>
        <cdr:cNvSpPr txBox="1"/>
      </cdr:nvSpPr>
      <cdr:spPr>
        <a:xfrm xmlns:a="http://schemas.openxmlformats.org/drawingml/2006/main">
          <a:off x="3619500" y="2228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1859</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soare3156@outlook.jp</dc:creator>
  <cp:keywords/>
  <dc:description/>
  <cp:lastModifiedBy>soare3156@outlook.jp</cp:lastModifiedBy>
  <cp:revision>9</cp:revision>
  <dcterms:created xsi:type="dcterms:W3CDTF">2021-07-27T12:48:00Z</dcterms:created>
  <dcterms:modified xsi:type="dcterms:W3CDTF">2021-10-12T01:12:00Z</dcterms:modified>
</cp:coreProperties>
</file>