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9282" w14:textId="77777777" w:rsidR="00947A38" w:rsidRDefault="00947A38" w:rsidP="00947A38">
      <w:pPr>
        <w:jc w:val="center"/>
        <w:rPr>
          <w:sz w:val="56"/>
          <w:szCs w:val="56"/>
        </w:rPr>
      </w:pPr>
    </w:p>
    <w:p w14:paraId="671371B8" w14:textId="77777777" w:rsidR="00947A38" w:rsidRDefault="00947A38" w:rsidP="00947A38">
      <w:pPr>
        <w:jc w:val="center"/>
        <w:rPr>
          <w:sz w:val="56"/>
          <w:szCs w:val="56"/>
        </w:rPr>
      </w:pPr>
    </w:p>
    <w:p w14:paraId="6FFEA0A5" w14:textId="77777777" w:rsidR="00947A38" w:rsidRDefault="00947A38" w:rsidP="00947A38">
      <w:pPr>
        <w:jc w:val="center"/>
        <w:rPr>
          <w:sz w:val="56"/>
          <w:szCs w:val="56"/>
        </w:rPr>
      </w:pPr>
    </w:p>
    <w:p w14:paraId="1665BD00" w14:textId="77777777" w:rsidR="00947A38" w:rsidRDefault="00947A38" w:rsidP="00947A38">
      <w:pPr>
        <w:jc w:val="center"/>
        <w:rPr>
          <w:sz w:val="56"/>
          <w:szCs w:val="56"/>
        </w:rPr>
      </w:pPr>
    </w:p>
    <w:p w14:paraId="58106192" w14:textId="77777777" w:rsidR="00947A38" w:rsidRDefault="00947A38" w:rsidP="00947A38">
      <w:pPr>
        <w:jc w:val="center"/>
        <w:rPr>
          <w:sz w:val="56"/>
          <w:szCs w:val="56"/>
        </w:rPr>
      </w:pPr>
      <w:r w:rsidRPr="00947A38">
        <w:rPr>
          <w:rFonts w:hint="eastAsia"/>
          <w:sz w:val="56"/>
          <w:szCs w:val="56"/>
        </w:rPr>
        <w:t>遺伝子組換え作物による</w:t>
      </w:r>
    </w:p>
    <w:p w14:paraId="077BFD34" w14:textId="77777777" w:rsidR="00947A38" w:rsidRPr="00947A38" w:rsidRDefault="00947A38" w:rsidP="00947A38">
      <w:pPr>
        <w:jc w:val="center"/>
        <w:rPr>
          <w:sz w:val="56"/>
          <w:szCs w:val="56"/>
        </w:rPr>
      </w:pPr>
      <w:r w:rsidRPr="00947A38">
        <w:rPr>
          <w:rFonts w:hint="eastAsia"/>
          <w:sz w:val="56"/>
          <w:szCs w:val="56"/>
        </w:rPr>
        <w:t>食糧増産の可能性</w:t>
      </w:r>
    </w:p>
    <w:p w14:paraId="3AAD5B3B" w14:textId="77777777" w:rsidR="00947A38" w:rsidRDefault="00947A38" w:rsidP="00947A38">
      <w:pPr>
        <w:jc w:val="center"/>
      </w:pPr>
    </w:p>
    <w:p w14:paraId="2791A7C6" w14:textId="77777777" w:rsidR="00947A38" w:rsidRDefault="00947A38" w:rsidP="00947A38">
      <w:pPr>
        <w:jc w:val="center"/>
      </w:pPr>
    </w:p>
    <w:p w14:paraId="19DE1965" w14:textId="77777777" w:rsidR="00947A38" w:rsidRDefault="00947A38" w:rsidP="00947A38">
      <w:pPr>
        <w:jc w:val="center"/>
      </w:pPr>
    </w:p>
    <w:p w14:paraId="7880EF96" w14:textId="77777777" w:rsidR="00947A38" w:rsidRDefault="00947A38" w:rsidP="00947A38">
      <w:pPr>
        <w:jc w:val="center"/>
      </w:pPr>
    </w:p>
    <w:p w14:paraId="05743AAB" w14:textId="77777777" w:rsidR="00947A38" w:rsidRDefault="00947A38"/>
    <w:p w14:paraId="56FB5842" w14:textId="77777777" w:rsidR="00947A38" w:rsidRDefault="00947A38"/>
    <w:p w14:paraId="0375C747" w14:textId="77777777" w:rsidR="00947A38" w:rsidRDefault="00947A38"/>
    <w:p w14:paraId="586AA677" w14:textId="77777777" w:rsidR="00947A38" w:rsidRPr="00947A38" w:rsidRDefault="00947A38" w:rsidP="00947A38">
      <w:pPr>
        <w:jc w:val="center"/>
        <w:rPr>
          <w:sz w:val="40"/>
          <w:szCs w:val="40"/>
        </w:rPr>
      </w:pPr>
      <w:r w:rsidRPr="00947A38">
        <w:rPr>
          <w:rFonts w:hint="eastAsia"/>
          <w:sz w:val="40"/>
          <w:szCs w:val="40"/>
        </w:rPr>
        <w:t>法政大学</w:t>
      </w:r>
      <w:r w:rsidRPr="00947A38">
        <w:rPr>
          <w:rFonts w:hint="eastAsia"/>
          <w:sz w:val="40"/>
          <w:szCs w:val="40"/>
        </w:rPr>
        <w:t>4</w:t>
      </w:r>
      <w:r w:rsidRPr="00947A38">
        <w:rPr>
          <w:rFonts w:hint="eastAsia"/>
          <w:sz w:val="40"/>
          <w:szCs w:val="40"/>
        </w:rPr>
        <w:t>年　山本　裕大</w:t>
      </w:r>
    </w:p>
    <w:p w14:paraId="0E80FB80" w14:textId="77777777" w:rsidR="00947A38" w:rsidRDefault="00947A38"/>
    <w:p w14:paraId="053D0FEE" w14:textId="77777777" w:rsidR="00947A38" w:rsidRDefault="00947A38"/>
    <w:p w14:paraId="1298DA4E" w14:textId="77777777" w:rsidR="00947A38" w:rsidRDefault="00947A38"/>
    <w:p w14:paraId="0CFBA8B2" w14:textId="77777777" w:rsidR="00947A38" w:rsidRDefault="00947A38"/>
    <w:p w14:paraId="2D837DA5" w14:textId="77777777" w:rsidR="00947A38" w:rsidRDefault="00947A38"/>
    <w:p w14:paraId="2877F9A3" w14:textId="77777777" w:rsidR="00947A38" w:rsidRDefault="00947A38"/>
    <w:p w14:paraId="1DB09BC3" w14:textId="77777777" w:rsidR="00947A38" w:rsidRDefault="00947A38"/>
    <w:p w14:paraId="1B544E80" w14:textId="77777777" w:rsidR="00947A38" w:rsidRDefault="00947A38"/>
    <w:p w14:paraId="0C5442FE" w14:textId="77777777" w:rsidR="00947A38" w:rsidRDefault="00947A38"/>
    <w:p w14:paraId="179AD07C" w14:textId="77777777" w:rsidR="00947A38" w:rsidRDefault="00947A38"/>
    <w:p w14:paraId="293CE018" w14:textId="77777777" w:rsidR="00947A38" w:rsidRDefault="00947A38"/>
    <w:p w14:paraId="1F6DB14B" w14:textId="77777777" w:rsidR="00947A38" w:rsidRDefault="00947A38"/>
    <w:p w14:paraId="4E37430B" w14:textId="77777777" w:rsidR="00947A38" w:rsidRDefault="00947A38"/>
    <w:p w14:paraId="3913CAB3" w14:textId="5BC9D5C3" w:rsidR="00A25401" w:rsidRDefault="005573C4">
      <w:r>
        <w:rPr>
          <w:rFonts w:hint="eastAsia"/>
        </w:rPr>
        <w:lastRenderedPageBreak/>
        <w:t>①</w:t>
      </w:r>
      <w:r w:rsidR="004A7D9F">
        <w:rPr>
          <w:rFonts w:hint="eastAsia"/>
        </w:rPr>
        <w:t>序文</w:t>
      </w:r>
    </w:p>
    <w:p w14:paraId="4753F65D" w14:textId="77777777" w:rsidR="00FE1DAA" w:rsidRDefault="005573C4">
      <w:r>
        <w:rPr>
          <w:rFonts w:hint="eastAsia"/>
        </w:rPr>
        <w:t xml:space="preserve">　</w:t>
      </w:r>
      <w:bookmarkStart w:id="0" w:name="OLE_LINK9"/>
      <w:bookmarkStart w:id="1" w:name="OLE_LINK10"/>
      <w:bookmarkStart w:id="2" w:name="_GoBack"/>
      <w:r w:rsidR="00EF0CEB">
        <w:rPr>
          <w:rFonts w:hint="eastAsia"/>
        </w:rPr>
        <w:t>人口増加によってもたらされる問題は深刻である</w:t>
      </w:r>
      <w:r>
        <w:rPr>
          <w:rFonts w:hint="eastAsia"/>
        </w:rPr>
        <w:t>。現在の約</w:t>
      </w:r>
      <w:r>
        <w:rPr>
          <w:rFonts w:hint="eastAsia"/>
        </w:rPr>
        <w:t>70</w:t>
      </w:r>
      <w:r>
        <w:rPr>
          <w:rFonts w:hint="eastAsia"/>
        </w:rPr>
        <w:t>億人いる世界人口が</w:t>
      </w:r>
      <w:r>
        <w:rPr>
          <w:rFonts w:hint="eastAsia"/>
        </w:rPr>
        <w:t>2050</w:t>
      </w:r>
      <w:r>
        <w:rPr>
          <w:rFonts w:hint="eastAsia"/>
        </w:rPr>
        <w:t>年には</w:t>
      </w:r>
      <w:r>
        <w:rPr>
          <w:rFonts w:hint="eastAsia"/>
        </w:rPr>
        <w:t>90</w:t>
      </w:r>
      <w:r>
        <w:rPr>
          <w:rFonts w:hint="eastAsia"/>
        </w:rPr>
        <w:t>億人を突破すると予想されており、特にアフリカやアジアなど新興国は急激にその人口を伸ばすとされている</w:t>
      </w:r>
      <w:r>
        <w:rPr>
          <w:rStyle w:val="a9"/>
        </w:rPr>
        <w:footnoteReference w:id="1"/>
      </w:r>
      <w:r>
        <w:rPr>
          <w:rFonts w:hint="eastAsia"/>
        </w:rPr>
        <w:t>。そのような急激な人口増加にともない</w:t>
      </w:r>
      <w:r w:rsidR="00241A1B">
        <w:rPr>
          <w:rFonts w:hint="eastAsia"/>
        </w:rPr>
        <w:t>将来</w:t>
      </w:r>
      <w:r>
        <w:rPr>
          <w:rFonts w:hint="eastAsia"/>
        </w:rPr>
        <w:t>その人口を賄うだけの大量の食料</w:t>
      </w:r>
      <w:r w:rsidR="00241A1B">
        <w:rPr>
          <w:rFonts w:hint="eastAsia"/>
        </w:rPr>
        <w:t>が必要になる</w:t>
      </w:r>
      <w:r w:rsidR="00FE1DAA">
        <w:rPr>
          <w:rFonts w:hint="eastAsia"/>
        </w:rPr>
        <w:t>。</w:t>
      </w:r>
    </w:p>
    <w:p w14:paraId="7B1F369B" w14:textId="2D0D74AE" w:rsidR="00E6661C" w:rsidRDefault="00E04065">
      <w:r>
        <w:rPr>
          <w:rFonts w:hint="eastAsia"/>
        </w:rPr>
        <w:t xml:space="preserve">　</w:t>
      </w:r>
      <w:r w:rsidRPr="00E04065">
        <w:rPr>
          <w:rFonts w:hint="eastAsia"/>
        </w:rPr>
        <w:t>しかし</w:t>
      </w:r>
      <w:r w:rsidR="007A56C1">
        <w:rPr>
          <w:rFonts w:hint="eastAsia"/>
        </w:rPr>
        <w:t>、</w:t>
      </w:r>
      <w:r w:rsidRPr="00E04065">
        <w:rPr>
          <w:rFonts w:hint="eastAsia"/>
        </w:rPr>
        <w:t>すでに食糧を必要としている問題として飢餓が存在する。飢餓によって現在世界で</w:t>
      </w:r>
      <w:r w:rsidRPr="00E04065">
        <w:rPr>
          <w:rFonts w:hint="eastAsia"/>
        </w:rPr>
        <w:t>8</w:t>
      </w:r>
      <w:r w:rsidRPr="00E04065">
        <w:rPr>
          <w:rFonts w:hint="eastAsia"/>
        </w:rPr>
        <w:t>億</w:t>
      </w:r>
      <w:r w:rsidRPr="00E04065">
        <w:rPr>
          <w:rFonts w:hint="eastAsia"/>
        </w:rPr>
        <w:t>7</w:t>
      </w:r>
      <w:r w:rsidR="001C78B7">
        <w:rPr>
          <w:rFonts w:hint="eastAsia"/>
        </w:rPr>
        <w:t>千万人もの人が苦しめられている。</w:t>
      </w:r>
      <w:r w:rsidRPr="00E04065">
        <w:rPr>
          <w:rFonts w:hint="eastAsia"/>
        </w:rPr>
        <w:t>その多くは貧しい特定地域に集中している（飢餓人口の</w:t>
      </w:r>
      <w:r w:rsidRPr="00E04065">
        <w:rPr>
          <w:rFonts w:hint="eastAsia"/>
        </w:rPr>
        <w:t>98</w:t>
      </w:r>
      <w:r w:rsidRPr="00E04065">
        <w:rPr>
          <w:rFonts w:hint="eastAsia"/>
        </w:rPr>
        <w:t>％は発展途上国、</w:t>
      </w:r>
      <w:r w:rsidRPr="00E04065">
        <w:t>65</w:t>
      </w:r>
      <w:r w:rsidRPr="00E04065">
        <w:t>％は７つの国</w:t>
      </w:r>
      <w:r w:rsidRPr="00E04065">
        <w:rPr>
          <w:rFonts w:hint="eastAsia"/>
        </w:rPr>
        <w:t>に集中している</w:t>
      </w:r>
      <w:r w:rsidRPr="00E04065">
        <w:rPr>
          <w:rStyle w:val="a9"/>
        </w:rPr>
        <w:footnoteReference w:id="2"/>
      </w:r>
      <w:r w:rsidRPr="00E04065">
        <w:rPr>
          <w:rFonts w:hint="eastAsia"/>
        </w:rPr>
        <w:t>）。</w:t>
      </w:r>
      <w:r>
        <w:rPr>
          <w:rFonts w:hint="eastAsia"/>
        </w:rPr>
        <w:t>このように飢餓が特定地域に集中する</w:t>
      </w:r>
      <w:r w:rsidR="007A56C1">
        <w:rPr>
          <w:rFonts w:hint="eastAsia"/>
        </w:rPr>
        <w:t>一因は</w:t>
      </w:r>
      <w:r>
        <w:rPr>
          <w:rFonts w:hint="eastAsia"/>
        </w:rPr>
        <w:t>現在の流通システムにある。</w:t>
      </w:r>
      <w:r w:rsidR="007A56C1">
        <w:rPr>
          <w:rFonts w:hint="eastAsia"/>
        </w:rPr>
        <w:t>世界的に進む貿易自由化の流れの中で</w:t>
      </w:r>
      <w:r>
        <w:rPr>
          <w:rFonts w:hint="eastAsia"/>
        </w:rPr>
        <w:t>、食糧</w:t>
      </w:r>
      <w:r w:rsidR="007A56C1">
        <w:rPr>
          <w:rFonts w:hint="eastAsia"/>
        </w:rPr>
        <w:t>が市場原理に基づいて販売価格の高い</w:t>
      </w:r>
      <w:r>
        <w:rPr>
          <w:rFonts w:hint="eastAsia"/>
        </w:rPr>
        <w:t>先進国に集中</w:t>
      </w:r>
      <w:r w:rsidR="007A56C1">
        <w:rPr>
          <w:rFonts w:hint="eastAsia"/>
        </w:rPr>
        <w:t>する</w:t>
      </w:r>
      <w:r w:rsidR="00E6661C">
        <w:rPr>
          <w:rFonts w:hint="eastAsia"/>
        </w:rPr>
        <w:t>のである。そのため自国で生産した食糧を自国民が飢えていても</w:t>
      </w:r>
      <w:r w:rsidR="00075E9E">
        <w:rPr>
          <w:rFonts w:hint="eastAsia"/>
        </w:rPr>
        <w:t>、外貨獲得のため高価格で売れる先進国に</w:t>
      </w:r>
      <w:r w:rsidR="00254038">
        <w:rPr>
          <w:rFonts w:hint="eastAsia"/>
        </w:rPr>
        <w:t>輸出するような</w:t>
      </w:r>
      <w:r w:rsidR="00761974">
        <w:rPr>
          <w:rFonts w:hint="eastAsia"/>
        </w:rPr>
        <w:t>事態</w:t>
      </w:r>
      <w:r w:rsidR="00E6661C">
        <w:rPr>
          <w:rFonts w:hint="eastAsia"/>
        </w:rPr>
        <w:t>も起きている。</w:t>
      </w:r>
    </w:p>
    <w:p w14:paraId="777EDCEE" w14:textId="7304A2C8" w:rsidR="00A00C22" w:rsidRDefault="00E6661C">
      <w:r>
        <w:rPr>
          <w:rFonts w:hint="eastAsia"/>
        </w:rPr>
        <w:t xml:space="preserve">　</w:t>
      </w:r>
      <w:r w:rsidR="00254038">
        <w:rPr>
          <w:rFonts w:hint="eastAsia"/>
        </w:rPr>
        <w:t>この</w:t>
      </w:r>
      <w:r w:rsidR="00761974">
        <w:rPr>
          <w:rFonts w:hint="eastAsia"/>
        </w:rPr>
        <w:t>事態</w:t>
      </w:r>
      <w:r w:rsidR="00254038">
        <w:rPr>
          <w:rFonts w:hint="eastAsia"/>
        </w:rPr>
        <w:t>の解決には</w:t>
      </w:r>
      <w:r w:rsidR="00862AE8">
        <w:rPr>
          <w:rFonts w:hint="eastAsia"/>
        </w:rPr>
        <w:t>食糧流通</w:t>
      </w:r>
      <w:r w:rsidR="007A56C1">
        <w:rPr>
          <w:rFonts w:hint="eastAsia"/>
        </w:rPr>
        <w:t>の</w:t>
      </w:r>
      <w:r w:rsidR="00254038">
        <w:rPr>
          <w:rFonts w:hint="eastAsia"/>
        </w:rPr>
        <w:t>自由貿易</w:t>
      </w:r>
      <w:r w:rsidR="007A56C1">
        <w:rPr>
          <w:rFonts w:hint="eastAsia"/>
        </w:rPr>
        <w:t>化の流れを止めて</w:t>
      </w:r>
      <w:r w:rsidR="00761974">
        <w:rPr>
          <w:rFonts w:hint="eastAsia"/>
        </w:rPr>
        <w:t>、</w:t>
      </w:r>
      <w:r w:rsidR="00254038">
        <w:rPr>
          <w:rFonts w:hint="eastAsia"/>
        </w:rPr>
        <w:t>市場原理</w:t>
      </w:r>
      <w:r w:rsidR="00862AE8">
        <w:rPr>
          <w:rFonts w:hint="eastAsia"/>
        </w:rPr>
        <w:t>から切り離すようなシステムの導入が必要となる</w:t>
      </w:r>
      <w:r w:rsidR="00E04065">
        <w:rPr>
          <w:rFonts w:hint="eastAsia"/>
        </w:rPr>
        <w:t>。</w:t>
      </w:r>
      <w:r w:rsidR="00254038">
        <w:rPr>
          <w:rFonts w:hint="eastAsia"/>
        </w:rPr>
        <w:t>しかしこれは現実的には難しいだろう。</w:t>
      </w:r>
      <w:r w:rsidR="00FA6F61">
        <w:rPr>
          <w:rFonts w:hint="eastAsia"/>
        </w:rPr>
        <w:t>今後もグローバル化</w:t>
      </w:r>
      <w:r w:rsidR="00254038">
        <w:rPr>
          <w:rFonts w:hint="eastAsia"/>
        </w:rPr>
        <w:t>、自由貿易</w:t>
      </w:r>
      <w:r w:rsidR="007A56C1">
        <w:rPr>
          <w:rFonts w:hint="eastAsia"/>
        </w:rPr>
        <w:t>化</w:t>
      </w:r>
      <w:r w:rsidR="00FA6F61">
        <w:rPr>
          <w:rFonts w:hint="eastAsia"/>
        </w:rPr>
        <w:t>が進む中で</w:t>
      </w:r>
      <w:r w:rsidR="00862AE8">
        <w:rPr>
          <w:rFonts w:hint="eastAsia"/>
        </w:rPr>
        <w:t>高価格でものが売れる先進国に食糧が集中する現状は変わらない</w:t>
      </w:r>
      <w:r w:rsidR="007A56C1">
        <w:rPr>
          <w:rFonts w:hint="eastAsia"/>
        </w:rPr>
        <w:t>と考えられる</w:t>
      </w:r>
      <w:r w:rsidR="00A00C22">
        <w:rPr>
          <w:rFonts w:hint="eastAsia"/>
        </w:rPr>
        <w:t>からである</w:t>
      </w:r>
      <w:r w:rsidR="00761974">
        <w:rPr>
          <w:rFonts w:hint="eastAsia"/>
        </w:rPr>
        <w:t>。</w:t>
      </w:r>
    </w:p>
    <w:p w14:paraId="58EE83C8" w14:textId="63EDCAE3" w:rsidR="00A00C22" w:rsidRDefault="00A00C22">
      <w:r>
        <w:rPr>
          <w:rFonts w:hint="eastAsia"/>
        </w:rPr>
        <w:t xml:space="preserve">　</w:t>
      </w:r>
      <w:r w:rsidR="004A7D9F">
        <w:rPr>
          <w:rFonts w:hint="eastAsia"/>
        </w:rPr>
        <w:t>従って、</w:t>
      </w:r>
      <w:r>
        <w:rPr>
          <w:rFonts w:hint="eastAsia"/>
        </w:rPr>
        <w:t>今後は現在の先進国に食糧が集中するシステムを前提とした量の食糧の増産が必要となる。先進国が市場から必要なだけの量を確保しても、なお</w:t>
      </w:r>
      <w:r w:rsidR="004A7D9F">
        <w:rPr>
          <w:rFonts w:hint="eastAsia"/>
        </w:rPr>
        <w:t>発展途上国にも食料が分配されるだけの十分な</w:t>
      </w:r>
      <w:r>
        <w:rPr>
          <w:rFonts w:hint="eastAsia"/>
        </w:rPr>
        <w:t>食糧の増産が必要なのである。</w:t>
      </w:r>
      <w:r w:rsidR="003055B2">
        <w:rPr>
          <w:rFonts w:hint="eastAsia"/>
        </w:rPr>
        <w:t>（その際には同時に現在の先進国での食糧の廃棄を最大限減らす努力は必要だろう）</w:t>
      </w:r>
      <w:r>
        <w:rPr>
          <w:rFonts w:hint="eastAsia"/>
        </w:rPr>
        <w:t>飢餓の集中する発展途上国にも食糧が買える量が世界全体で確保できたとき</w:t>
      </w:r>
      <w:r w:rsidR="003055B2">
        <w:rPr>
          <w:rFonts w:hint="eastAsia"/>
        </w:rPr>
        <w:t>初めて</w:t>
      </w:r>
      <w:r>
        <w:rPr>
          <w:rFonts w:hint="eastAsia"/>
        </w:rPr>
        <w:t>食糧の増産が十分になったといえる。</w:t>
      </w:r>
    </w:p>
    <w:p w14:paraId="51426A18" w14:textId="35690A45" w:rsidR="00AE10A9" w:rsidRDefault="00AE10A9">
      <w:r>
        <w:rPr>
          <w:rFonts w:hint="eastAsia"/>
        </w:rPr>
        <w:t xml:space="preserve">　</w:t>
      </w:r>
      <w:r w:rsidR="00797173">
        <w:rPr>
          <w:rFonts w:hint="eastAsia"/>
        </w:rPr>
        <w:t>以上の</w:t>
      </w:r>
      <w:r>
        <w:rPr>
          <w:rFonts w:hint="eastAsia"/>
        </w:rPr>
        <w:t>ことから世界は</w:t>
      </w:r>
      <w:r w:rsidR="00283F93">
        <w:rPr>
          <w:rFonts w:hint="eastAsia"/>
        </w:rPr>
        <w:t>今後現在</w:t>
      </w:r>
      <w:r w:rsidR="003114CC">
        <w:rPr>
          <w:rFonts w:hint="eastAsia"/>
        </w:rPr>
        <w:t>の</w:t>
      </w:r>
      <w:r w:rsidR="00283F93">
        <w:rPr>
          <w:rFonts w:hint="eastAsia"/>
        </w:rPr>
        <w:t>飢餓の</w:t>
      </w:r>
      <w:r w:rsidR="003114CC">
        <w:rPr>
          <w:rFonts w:hint="eastAsia"/>
        </w:rPr>
        <w:t>1</w:t>
      </w:r>
      <w:r w:rsidR="003114CC">
        <w:rPr>
          <w:rFonts w:hint="eastAsia"/>
        </w:rPr>
        <w:t>つの原因</w:t>
      </w:r>
      <w:r w:rsidR="00E157B1">
        <w:rPr>
          <w:rFonts w:hint="eastAsia"/>
        </w:rPr>
        <w:t>である</w:t>
      </w:r>
      <w:r w:rsidR="004A7D9F">
        <w:rPr>
          <w:rFonts w:hint="eastAsia"/>
        </w:rPr>
        <w:t>食料分配の不均一性</w:t>
      </w:r>
      <w:r w:rsidR="00283F93">
        <w:rPr>
          <w:rFonts w:hint="eastAsia"/>
        </w:rPr>
        <w:t>と将来の人口増加の両方</w:t>
      </w:r>
      <w:r w:rsidR="004A7D9F">
        <w:rPr>
          <w:rFonts w:hint="eastAsia"/>
        </w:rPr>
        <w:t>に対応する</w:t>
      </w:r>
      <w:r w:rsidR="00E157B1">
        <w:rPr>
          <w:rFonts w:hint="eastAsia"/>
        </w:rPr>
        <w:t>ために</w:t>
      </w:r>
      <w:r w:rsidR="00283F93">
        <w:rPr>
          <w:rFonts w:hint="eastAsia"/>
        </w:rPr>
        <w:t>食糧を増産する必要がある</w:t>
      </w:r>
      <w:r w:rsidR="00797173">
        <w:rPr>
          <w:rFonts w:hint="eastAsia"/>
        </w:rPr>
        <w:t>。</w:t>
      </w:r>
      <w:r w:rsidR="004A7D9F">
        <w:rPr>
          <w:rFonts w:hint="eastAsia"/>
        </w:rPr>
        <w:t>そこで、</w:t>
      </w:r>
      <w:r w:rsidR="00FF4105">
        <w:rPr>
          <w:rFonts w:hint="eastAsia"/>
        </w:rPr>
        <w:t>食糧を</w:t>
      </w:r>
      <w:r w:rsidR="004A7D9F">
        <w:rPr>
          <w:rFonts w:hint="eastAsia"/>
        </w:rPr>
        <w:t>増産に必要な、</w:t>
      </w:r>
      <w:r>
        <w:rPr>
          <w:rFonts w:hint="eastAsia"/>
        </w:rPr>
        <w:t>耕地面積</w:t>
      </w:r>
      <w:r w:rsidR="00FF4105">
        <w:rPr>
          <w:rFonts w:hint="eastAsia"/>
        </w:rPr>
        <w:t>の拡大と生産効率の上昇</w:t>
      </w:r>
      <w:r w:rsidR="004A7D9F">
        <w:rPr>
          <w:rFonts w:hint="eastAsia"/>
        </w:rPr>
        <w:t>について論じ、その上で、遺伝子組み換え作物の持つ重要な役割を明らかにしたい</w:t>
      </w:r>
      <w:r>
        <w:rPr>
          <w:rFonts w:hint="eastAsia"/>
        </w:rPr>
        <w:t>。</w:t>
      </w:r>
      <w:bookmarkEnd w:id="0"/>
      <w:bookmarkEnd w:id="1"/>
      <w:bookmarkEnd w:id="2"/>
    </w:p>
    <w:p w14:paraId="5911D693" w14:textId="77777777" w:rsidR="004A7D9F" w:rsidRDefault="004A7D9F"/>
    <w:p w14:paraId="3C9C0C8D" w14:textId="440ECDAD" w:rsidR="00784C14" w:rsidRDefault="00784C14">
      <w:r>
        <w:rPr>
          <w:rFonts w:hint="eastAsia"/>
        </w:rPr>
        <w:t>第一章　従来型の食糧増産</w:t>
      </w:r>
    </w:p>
    <w:p w14:paraId="7BECFDC5" w14:textId="77777777" w:rsidR="00FF4105" w:rsidRDefault="00FF4105">
      <w:r>
        <w:rPr>
          <w:rFonts w:hint="eastAsia"/>
        </w:rPr>
        <w:t xml:space="preserve">　１、耕地面積の拡大</w:t>
      </w:r>
    </w:p>
    <w:p w14:paraId="4DD073B7" w14:textId="08B0D69A" w:rsidR="00926D6A" w:rsidRDefault="00AE10A9" w:rsidP="00926D6A">
      <w:pPr>
        <w:autoSpaceDE w:val="0"/>
        <w:autoSpaceDN w:val="0"/>
        <w:adjustRightInd w:val="0"/>
        <w:jc w:val="left"/>
      </w:pPr>
      <w:r>
        <w:rPr>
          <w:rFonts w:hint="eastAsia"/>
        </w:rPr>
        <w:t xml:space="preserve">　</w:t>
      </w:r>
      <w:r w:rsidR="00926D6A">
        <w:rPr>
          <w:rFonts w:hint="eastAsia"/>
        </w:rPr>
        <w:t>農林水産省の統計によると耕地面積は</w:t>
      </w:r>
      <w:r w:rsidR="00926D6A">
        <w:rPr>
          <w:rFonts w:hint="eastAsia"/>
        </w:rPr>
        <w:t>196</w:t>
      </w:r>
      <w:r>
        <w:rPr>
          <w:rFonts w:hint="eastAsia"/>
        </w:rPr>
        <w:t>1</w:t>
      </w:r>
      <w:r w:rsidR="00926D6A">
        <w:rPr>
          <w:rFonts w:hint="eastAsia"/>
        </w:rPr>
        <w:t>年から</w:t>
      </w:r>
      <w:r>
        <w:rPr>
          <w:rFonts w:hint="eastAsia"/>
        </w:rPr>
        <w:t>2006</w:t>
      </w:r>
      <w:r>
        <w:rPr>
          <w:rFonts w:hint="eastAsia"/>
        </w:rPr>
        <w:t>年までに約</w:t>
      </w:r>
      <w:r>
        <w:rPr>
          <w:rFonts w:hint="eastAsia"/>
        </w:rPr>
        <w:t>1.25</w:t>
      </w:r>
      <w:r>
        <w:rPr>
          <w:rFonts w:hint="eastAsia"/>
        </w:rPr>
        <w:t>倍の伸び</w:t>
      </w:r>
      <w:r w:rsidR="00D25D26">
        <w:rPr>
          <w:rFonts w:hint="eastAsia"/>
        </w:rPr>
        <w:t>て</w:t>
      </w:r>
      <w:r>
        <w:rPr>
          <w:rFonts w:hint="eastAsia"/>
        </w:rPr>
        <w:t>いる（図</w:t>
      </w:r>
      <w:r>
        <w:rPr>
          <w:rFonts w:hint="eastAsia"/>
        </w:rPr>
        <w:t>1</w:t>
      </w:r>
      <w:r>
        <w:rPr>
          <w:rFonts w:hint="eastAsia"/>
        </w:rPr>
        <w:t>参照）。</w:t>
      </w:r>
      <w:r w:rsidR="00FF4105">
        <w:rPr>
          <w:rFonts w:hint="eastAsia"/>
        </w:rPr>
        <w:t>一方</w:t>
      </w:r>
      <w:r w:rsidR="00E26E04">
        <w:rPr>
          <w:rFonts w:hint="eastAsia"/>
        </w:rPr>
        <w:t>同期間の人口</w:t>
      </w:r>
      <w:r w:rsidR="00FF4105">
        <w:rPr>
          <w:rFonts w:hint="eastAsia"/>
        </w:rPr>
        <w:t>は</w:t>
      </w:r>
      <w:r w:rsidR="00926D6A">
        <w:rPr>
          <w:rFonts w:hint="eastAsia"/>
        </w:rPr>
        <w:t>1961</w:t>
      </w:r>
      <w:r w:rsidR="00926D6A">
        <w:rPr>
          <w:rFonts w:hint="eastAsia"/>
        </w:rPr>
        <w:t>年の</w:t>
      </w:r>
      <w:r w:rsidR="00926D6A">
        <w:rPr>
          <w:rFonts w:hint="eastAsia"/>
        </w:rPr>
        <w:t>35</w:t>
      </w:r>
      <w:r w:rsidR="00926D6A">
        <w:rPr>
          <w:rFonts w:hint="eastAsia"/>
        </w:rPr>
        <w:t>億人から</w:t>
      </w:r>
      <w:r w:rsidR="00FF4105">
        <w:rPr>
          <w:rFonts w:hint="eastAsia"/>
        </w:rPr>
        <w:t>2006</w:t>
      </w:r>
      <w:r w:rsidR="00926D6A">
        <w:rPr>
          <w:rFonts w:hint="eastAsia"/>
        </w:rPr>
        <w:t>年の</w:t>
      </w:r>
      <w:r w:rsidR="00926D6A">
        <w:rPr>
          <w:rFonts w:hint="eastAsia"/>
        </w:rPr>
        <w:t>70</w:t>
      </w:r>
      <w:r w:rsidR="00926D6A">
        <w:rPr>
          <w:rFonts w:hint="eastAsia"/>
        </w:rPr>
        <w:t>億人へ約</w:t>
      </w:r>
      <w:r w:rsidR="00926D6A">
        <w:rPr>
          <w:rFonts w:hint="eastAsia"/>
        </w:rPr>
        <w:t>2</w:t>
      </w:r>
      <w:r w:rsidR="00E26E04">
        <w:rPr>
          <w:rFonts w:hint="eastAsia"/>
        </w:rPr>
        <w:t>倍</w:t>
      </w:r>
      <w:r w:rsidR="00FF4105">
        <w:rPr>
          <w:rFonts w:hint="eastAsia"/>
        </w:rPr>
        <w:t>になった。以上のことは過去耕地面積は拡大しているが</w:t>
      </w:r>
      <w:r w:rsidR="00D25D26">
        <w:rPr>
          <w:rFonts w:hint="eastAsia"/>
        </w:rPr>
        <w:t>、その間人口は</w:t>
      </w:r>
      <w:r w:rsidR="00187F0B">
        <w:rPr>
          <w:rFonts w:hint="eastAsia"/>
        </w:rPr>
        <w:t>それにも増して</w:t>
      </w:r>
      <w:r w:rsidR="00D25D26">
        <w:rPr>
          <w:rFonts w:hint="eastAsia"/>
        </w:rPr>
        <w:t>増加したこと、</w:t>
      </w:r>
      <w:r w:rsidR="00187F0B">
        <w:rPr>
          <w:rFonts w:hint="eastAsia"/>
        </w:rPr>
        <w:t>その</w:t>
      </w:r>
      <w:r w:rsidR="00926D6A">
        <w:rPr>
          <w:rFonts w:hint="eastAsia"/>
        </w:rPr>
        <w:t>結果一人当たりの耕地面積は低下し</w:t>
      </w:r>
      <w:r w:rsidR="00E26E04">
        <w:rPr>
          <w:rFonts w:hint="eastAsia"/>
        </w:rPr>
        <w:t>たこと</w:t>
      </w:r>
      <w:r w:rsidR="00187F0B">
        <w:rPr>
          <w:rFonts w:hint="eastAsia"/>
        </w:rPr>
        <w:t>が判る</w:t>
      </w:r>
      <w:r w:rsidR="00E26E04">
        <w:rPr>
          <w:rFonts w:hint="eastAsia"/>
        </w:rPr>
        <w:t>。</w:t>
      </w:r>
      <w:r w:rsidR="00187F0B">
        <w:rPr>
          <w:rFonts w:hint="eastAsia"/>
        </w:rPr>
        <w:t>すなわち、過去</w:t>
      </w:r>
      <w:r w:rsidR="00187F0B">
        <w:rPr>
          <w:rFonts w:hint="eastAsia"/>
        </w:rPr>
        <w:t>40</w:t>
      </w:r>
      <w:r w:rsidR="00187F0B">
        <w:rPr>
          <w:rFonts w:hint="eastAsia"/>
        </w:rPr>
        <w:t>年間の推移を見る限り</w:t>
      </w:r>
      <w:r w:rsidR="007B13B6">
        <w:rPr>
          <w:rFonts w:hint="eastAsia"/>
        </w:rPr>
        <w:t>人口増加に比例するだけの耕地面積の拡大は難しいと考えられる。</w:t>
      </w:r>
      <w:r w:rsidR="00926D6A">
        <w:rPr>
          <w:rFonts w:hint="eastAsia"/>
        </w:rPr>
        <w:t>したがって耕地面積の</w:t>
      </w:r>
      <w:r w:rsidR="00D25D26">
        <w:rPr>
          <w:rFonts w:hint="eastAsia"/>
        </w:rPr>
        <w:t>拡大だけでは人口増加に足りるだけの</w:t>
      </w:r>
      <w:r w:rsidR="00187F0B">
        <w:rPr>
          <w:rFonts w:hint="eastAsia"/>
        </w:rPr>
        <w:t>食料</w:t>
      </w:r>
      <w:r w:rsidR="00D25D26">
        <w:rPr>
          <w:rFonts w:hint="eastAsia"/>
        </w:rPr>
        <w:t>増産は困難</w:t>
      </w:r>
      <w:r w:rsidR="00187F0B">
        <w:rPr>
          <w:rFonts w:hint="eastAsia"/>
        </w:rPr>
        <w:t>なの</w:t>
      </w:r>
      <w:r w:rsidR="00D25D26">
        <w:rPr>
          <w:rFonts w:hint="eastAsia"/>
        </w:rPr>
        <w:t>である。</w:t>
      </w:r>
    </w:p>
    <w:p w14:paraId="50F404C7" w14:textId="77777777" w:rsidR="00926D6A" w:rsidRDefault="00926D6A"/>
    <w:p w14:paraId="3C682334" w14:textId="77777777" w:rsidR="00926D6A" w:rsidRDefault="00926D6A"/>
    <w:p w14:paraId="021B64BA" w14:textId="77777777" w:rsidR="00926D6A" w:rsidRDefault="00FA1A33">
      <w:r>
        <w:rPr>
          <w:noProof/>
        </w:rPr>
        <w:drawing>
          <wp:anchor distT="0" distB="0" distL="114300" distR="114300" simplePos="0" relativeHeight="251659264" behindDoc="1" locked="0" layoutInCell="1" allowOverlap="1" wp14:anchorId="00B22068" wp14:editId="4C91F180">
            <wp:simplePos x="0" y="0"/>
            <wp:positionH relativeFrom="column">
              <wp:posOffset>367665</wp:posOffset>
            </wp:positionH>
            <wp:positionV relativeFrom="paragraph">
              <wp:posOffset>-384175</wp:posOffset>
            </wp:positionV>
            <wp:extent cx="4759960" cy="2476500"/>
            <wp:effectExtent l="19050" t="0" r="2540" b="0"/>
            <wp:wrapTight wrapText="bothSides">
              <wp:wrapPolygon edited="0">
                <wp:start x="-86" y="0"/>
                <wp:lineTo x="-86" y="21434"/>
                <wp:lineTo x="21612" y="21434"/>
                <wp:lineTo x="21612" y="0"/>
                <wp:lineTo x="-86"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59960" cy="2476500"/>
                    </a:xfrm>
                    <a:prstGeom prst="rect">
                      <a:avLst/>
                    </a:prstGeom>
                    <a:noFill/>
                  </pic:spPr>
                </pic:pic>
              </a:graphicData>
            </a:graphic>
          </wp:anchor>
        </w:drawing>
      </w:r>
    </w:p>
    <w:p w14:paraId="6FF3D715" w14:textId="77777777" w:rsidR="00926D6A" w:rsidRDefault="00926D6A" w:rsidP="00926D6A">
      <w:r>
        <w:rPr>
          <w:rFonts w:hint="eastAsia"/>
        </w:rPr>
        <w:t>（図１）グラフ　農林水産省　「農業分野における国際貢献」（</w:t>
      </w:r>
      <w:r w:rsidRPr="00137C0A">
        <w:t>http://www.env.go.jp/recycle/jokaso/data/kentoukai/pdf/20100618-03maff.pdf</w:t>
      </w:r>
      <w:r>
        <w:rPr>
          <w:rFonts w:hint="eastAsia"/>
        </w:rPr>
        <w:t>）参照</w:t>
      </w:r>
    </w:p>
    <w:p w14:paraId="788F4494" w14:textId="77777777" w:rsidR="006A6086" w:rsidRDefault="009B197A" w:rsidP="009B197A">
      <w:r>
        <w:rPr>
          <w:rFonts w:hint="eastAsia"/>
        </w:rPr>
        <w:t xml:space="preserve">　</w:t>
      </w:r>
    </w:p>
    <w:p w14:paraId="2B46CD97" w14:textId="03258400" w:rsidR="006A6086" w:rsidRDefault="006A6086" w:rsidP="009B197A">
      <w:r>
        <w:rPr>
          <w:rFonts w:hint="eastAsia"/>
        </w:rPr>
        <w:t xml:space="preserve">　２、緑の革命に</w:t>
      </w:r>
      <w:r w:rsidR="00187F0B">
        <w:rPr>
          <w:rFonts w:hint="eastAsia"/>
        </w:rPr>
        <w:t>おける食料生産の</w:t>
      </w:r>
      <w:r>
        <w:rPr>
          <w:rFonts w:hint="eastAsia"/>
        </w:rPr>
        <w:t>効率化</w:t>
      </w:r>
    </w:p>
    <w:p w14:paraId="5649DC04" w14:textId="29FD9AFB" w:rsidR="009B197A" w:rsidRPr="007346F6" w:rsidRDefault="006A6086" w:rsidP="009B197A">
      <w:r>
        <w:rPr>
          <w:rFonts w:hint="eastAsia"/>
        </w:rPr>
        <w:t xml:space="preserve">　</w:t>
      </w:r>
      <w:r w:rsidR="009B197A">
        <w:rPr>
          <w:rFonts w:hint="eastAsia"/>
        </w:rPr>
        <w:t>過去</w:t>
      </w:r>
      <w:r w:rsidR="00187F0B">
        <w:rPr>
          <w:rFonts w:hint="eastAsia"/>
        </w:rPr>
        <w:t>、食料生産の</w:t>
      </w:r>
      <w:r w:rsidR="009B197A">
        <w:rPr>
          <w:rFonts w:hint="eastAsia"/>
        </w:rPr>
        <w:t>効率化によって</w:t>
      </w:r>
      <w:r w:rsidR="00187F0B">
        <w:rPr>
          <w:rFonts w:hint="eastAsia"/>
        </w:rPr>
        <w:t>飛躍的に</w:t>
      </w:r>
      <w:r w:rsidR="009B197A">
        <w:rPr>
          <w:rFonts w:hint="eastAsia"/>
        </w:rPr>
        <w:t>収量</w:t>
      </w:r>
      <w:r w:rsidR="00187F0B">
        <w:rPr>
          <w:rFonts w:hint="eastAsia"/>
        </w:rPr>
        <w:t>を</w:t>
      </w:r>
      <w:r w:rsidR="009B197A">
        <w:rPr>
          <w:rFonts w:hint="eastAsia"/>
        </w:rPr>
        <w:t>増加</w:t>
      </w:r>
      <w:r w:rsidR="00187F0B">
        <w:rPr>
          <w:rFonts w:hint="eastAsia"/>
        </w:rPr>
        <w:t>させた</w:t>
      </w:r>
      <w:r>
        <w:rPr>
          <w:rFonts w:hint="eastAsia"/>
        </w:rPr>
        <w:t>例</w:t>
      </w:r>
      <w:r w:rsidR="00187F0B">
        <w:rPr>
          <w:rFonts w:hint="eastAsia"/>
        </w:rPr>
        <w:t>として、</w:t>
      </w:r>
      <w:r>
        <w:rPr>
          <w:rFonts w:hint="eastAsia"/>
        </w:rPr>
        <w:t>緑の革命</w:t>
      </w:r>
      <w:r w:rsidR="00FC32FC">
        <w:rPr>
          <w:rFonts w:hint="eastAsia"/>
        </w:rPr>
        <w:t>が挙げられる</w:t>
      </w:r>
      <w:r w:rsidR="009B197A">
        <w:rPr>
          <w:rFonts w:hint="eastAsia"/>
        </w:rPr>
        <w:t>。緑の革命とは「</w:t>
      </w:r>
      <w:r w:rsidR="009B197A">
        <w:rPr>
          <w:rFonts w:asciiTheme="minorEastAsia" w:hAnsiTheme="minorEastAsia" w:hint="eastAsia"/>
        </w:rPr>
        <w:t>持続可能な農業に関する調査委員会」によると</w:t>
      </w:r>
      <w:r w:rsidR="009B197A">
        <w:rPr>
          <w:rFonts w:hint="eastAsia"/>
        </w:rPr>
        <w:t>「</w:t>
      </w:r>
      <w:r w:rsidR="009B197A">
        <w:rPr>
          <w:rFonts w:hint="eastAsia"/>
        </w:rPr>
        <w:t>1940</w:t>
      </w:r>
      <w:r w:rsidR="009B197A">
        <w:rPr>
          <w:rFonts w:hint="eastAsia"/>
        </w:rPr>
        <w:t>年代以降にトウモロコシ、小</w:t>
      </w:r>
      <w:r>
        <w:rPr>
          <w:rFonts w:hint="eastAsia"/>
        </w:rPr>
        <w:t>麦、米など高収量品種の導入により穀物の生産量が向上し、大量増産を</w:t>
      </w:r>
      <w:r w:rsidR="009B197A">
        <w:rPr>
          <w:rFonts w:hint="eastAsia"/>
        </w:rPr>
        <w:t>達成したことをいう。アジア諸国ではコメの単収量品種の作付け面積が</w:t>
      </w:r>
      <w:r w:rsidR="009B197A">
        <w:rPr>
          <w:rFonts w:hint="eastAsia"/>
        </w:rPr>
        <w:t>1960</w:t>
      </w:r>
      <w:r w:rsidR="009B197A">
        <w:rPr>
          <w:rFonts w:hint="eastAsia"/>
        </w:rPr>
        <w:t>年から</w:t>
      </w:r>
      <w:r w:rsidR="009B197A">
        <w:rPr>
          <w:rFonts w:hint="eastAsia"/>
        </w:rPr>
        <w:t>1970</w:t>
      </w:r>
      <w:r w:rsidR="009B197A">
        <w:rPr>
          <w:rFonts w:hint="eastAsia"/>
        </w:rPr>
        <w:t>年に急拡大し穀物の単位面積当たりの収量は</w:t>
      </w:r>
      <w:r w:rsidR="009B197A">
        <w:rPr>
          <w:rFonts w:hint="eastAsia"/>
        </w:rPr>
        <w:t>1950</w:t>
      </w:r>
      <w:r w:rsidR="009B197A">
        <w:rPr>
          <w:rFonts w:hint="eastAsia"/>
        </w:rPr>
        <w:t>年の</w:t>
      </w:r>
      <w:r w:rsidR="009B197A">
        <w:rPr>
          <w:rFonts w:hint="eastAsia"/>
        </w:rPr>
        <w:t>1t/ha</w:t>
      </w:r>
      <w:r w:rsidR="009B197A">
        <w:rPr>
          <w:rFonts w:hint="eastAsia"/>
        </w:rPr>
        <w:t>から</w:t>
      </w:r>
      <w:r w:rsidR="009B197A">
        <w:rPr>
          <w:rFonts w:hint="eastAsia"/>
        </w:rPr>
        <w:t>1993</w:t>
      </w:r>
      <w:r w:rsidR="009B197A">
        <w:rPr>
          <w:rFonts w:hint="eastAsia"/>
        </w:rPr>
        <w:t>年には</w:t>
      </w:r>
      <w:r w:rsidR="009B197A">
        <w:rPr>
          <w:rFonts w:hint="eastAsia"/>
        </w:rPr>
        <w:t>2.8t/ha</w:t>
      </w:r>
      <w:r w:rsidR="009B197A">
        <w:rPr>
          <w:rFonts w:hint="eastAsia"/>
        </w:rPr>
        <w:t>に大きく上昇した」</w:t>
      </w:r>
      <w:r w:rsidR="009B197A">
        <w:rPr>
          <w:rStyle w:val="a9"/>
        </w:rPr>
        <w:footnoteReference w:id="3"/>
      </w:r>
      <w:r w:rsidR="009B197A">
        <w:rPr>
          <w:rFonts w:hint="eastAsia"/>
        </w:rPr>
        <w:t>である。</w:t>
      </w:r>
      <w:r w:rsidR="009B197A">
        <w:rPr>
          <w:rFonts w:hint="eastAsia"/>
        </w:rPr>
        <w:t>FAO</w:t>
      </w:r>
      <w:r w:rsidR="009B197A">
        <w:rPr>
          <w:rFonts w:hint="eastAsia"/>
        </w:rPr>
        <w:t>によると</w:t>
      </w:r>
      <w:r>
        <w:rPr>
          <w:rFonts w:hint="eastAsia"/>
        </w:rPr>
        <w:t>緑の革命</w:t>
      </w:r>
      <w:r w:rsidR="00187F0B">
        <w:rPr>
          <w:rFonts w:hint="eastAsia"/>
        </w:rPr>
        <w:t>による食料の増産のによって、</w:t>
      </w:r>
      <w:r w:rsidR="009B197A">
        <w:rPr>
          <w:rFonts w:hint="eastAsia"/>
        </w:rPr>
        <w:t>推計</w:t>
      </w:r>
      <w:r w:rsidR="009B197A">
        <w:rPr>
          <w:rFonts w:hint="eastAsia"/>
        </w:rPr>
        <w:t>10</w:t>
      </w:r>
      <w:r w:rsidR="009B197A">
        <w:rPr>
          <w:rFonts w:hint="eastAsia"/>
        </w:rPr>
        <w:t>億人</w:t>
      </w:r>
      <w:r w:rsidR="00187F0B">
        <w:rPr>
          <w:rFonts w:hint="eastAsia"/>
        </w:rPr>
        <w:t>が</w:t>
      </w:r>
      <w:r w:rsidR="009B197A">
        <w:rPr>
          <w:rFonts w:hint="eastAsia"/>
        </w:rPr>
        <w:t>飢餓から救</w:t>
      </w:r>
      <w:r w:rsidR="00187F0B">
        <w:rPr>
          <w:rFonts w:hint="eastAsia"/>
        </w:rPr>
        <w:t>われた</w:t>
      </w:r>
      <w:r w:rsidR="009B197A">
        <w:rPr>
          <w:rFonts w:hint="eastAsia"/>
        </w:rPr>
        <w:t>。</w:t>
      </w:r>
      <w:r w:rsidR="009B197A">
        <w:rPr>
          <w:rStyle w:val="a9"/>
        </w:rPr>
        <w:footnoteReference w:id="4"/>
      </w:r>
    </w:p>
    <w:p w14:paraId="6A8A6E33" w14:textId="0ECC4BAC" w:rsidR="00FA1A33" w:rsidRDefault="001E2C58" w:rsidP="009B197A">
      <w:pPr>
        <w:autoSpaceDE w:val="0"/>
        <w:autoSpaceDN w:val="0"/>
        <w:adjustRightInd w:val="0"/>
        <w:jc w:val="left"/>
      </w:pPr>
      <w:r>
        <w:rPr>
          <w:rFonts w:hint="eastAsia"/>
        </w:rPr>
        <w:t xml:space="preserve">　実際</w:t>
      </w:r>
      <w:r w:rsidR="009B197A">
        <w:rPr>
          <w:rFonts w:hint="eastAsia"/>
        </w:rPr>
        <w:t>に</w:t>
      </w:r>
      <w:r w:rsidR="00FC32FC">
        <w:rPr>
          <w:rFonts w:hint="eastAsia"/>
        </w:rPr>
        <w:t>世界全体の穀物生産量の変化のグラフ（図</w:t>
      </w:r>
      <w:r w:rsidR="00FC32FC">
        <w:rPr>
          <w:rFonts w:hint="eastAsia"/>
        </w:rPr>
        <w:t>2</w:t>
      </w:r>
      <w:r w:rsidR="00FC32FC">
        <w:rPr>
          <w:rFonts w:hint="eastAsia"/>
        </w:rPr>
        <w:t>）においても穀物生産量は緑の革命の期間（</w:t>
      </w:r>
      <w:r>
        <w:rPr>
          <w:rFonts w:hint="eastAsia"/>
        </w:rPr>
        <w:t>1970</w:t>
      </w:r>
      <w:r>
        <w:rPr>
          <w:rFonts w:hint="eastAsia"/>
        </w:rPr>
        <w:t>年</w:t>
      </w:r>
      <w:r>
        <w:rPr>
          <w:rFonts w:ascii="HGPｺﾞｼｯｸE" w:eastAsia="HGPｺﾞｼｯｸE" w:hAnsi="HGPｺﾞｼｯｸE" w:cs="HGPｺﾞｼｯｸE" w:hint="eastAsia"/>
        </w:rPr>
        <w:t>～</w:t>
      </w:r>
      <w:r>
        <w:rPr>
          <w:rFonts w:hint="eastAsia"/>
        </w:rPr>
        <w:t>1990</w:t>
      </w:r>
      <w:r>
        <w:rPr>
          <w:rFonts w:hint="eastAsia"/>
        </w:rPr>
        <w:t>年とする</w:t>
      </w:r>
      <w:r w:rsidR="00FC32FC">
        <w:rPr>
          <w:rFonts w:hint="eastAsia"/>
        </w:rPr>
        <w:t>）</w:t>
      </w:r>
      <w:r>
        <w:rPr>
          <w:rFonts w:hint="eastAsia"/>
        </w:rPr>
        <w:t>約</w:t>
      </w:r>
      <w:r>
        <w:rPr>
          <w:rFonts w:hint="eastAsia"/>
        </w:rPr>
        <w:t>1.7</w:t>
      </w:r>
      <w:r>
        <w:rPr>
          <w:rFonts w:hint="eastAsia"/>
        </w:rPr>
        <w:t>倍以上の伸びを示している。こ</w:t>
      </w:r>
      <w:r w:rsidR="00187F0B">
        <w:rPr>
          <w:rFonts w:hint="eastAsia"/>
        </w:rPr>
        <w:t>の事は、</w:t>
      </w:r>
      <w:r>
        <w:rPr>
          <w:rFonts w:hint="eastAsia"/>
        </w:rPr>
        <w:t>その間（</w:t>
      </w:r>
      <w:r>
        <w:rPr>
          <w:rFonts w:hint="eastAsia"/>
        </w:rPr>
        <w:t>1970</w:t>
      </w:r>
      <w:r>
        <w:rPr>
          <w:rFonts w:hint="eastAsia"/>
        </w:rPr>
        <w:t>年</w:t>
      </w:r>
      <w:r>
        <w:rPr>
          <w:rFonts w:hint="eastAsia"/>
        </w:rPr>
        <w:t>1990</w:t>
      </w:r>
      <w:r>
        <w:rPr>
          <w:rFonts w:hint="eastAsia"/>
        </w:rPr>
        <w:t>年）の耕地面積の拡大が約</w:t>
      </w:r>
      <w:r>
        <w:rPr>
          <w:rFonts w:hint="eastAsia"/>
        </w:rPr>
        <w:t>1.1</w:t>
      </w:r>
      <w:r>
        <w:rPr>
          <w:rFonts w:hint="eastAsia"/>
        </w:rPr>
        <w:t>倍</w:t>
      </w:r>
      <w:r w:rsidR="00187F0B">
        <w:rPr>
          <w:rFonts w:hint="eastAsia"/>
        </w:rPr>
        <w:t>に過ぎなかった事を考慮すると、</w:t>
      </w:r>
      <w:r>
        <w:rPr>
          <w:rFonts w:hint="eastAsia"/>
        </w:rPr>
        <w:t>単一面積当たりの効率化が進んだ証と言える。</w:t>
      </w:r>
    </w:p>
    <w:p w14:paraId="5BB2982E" w14:textId="77777777" w:rsidR="00FA1A33" w:rsidRDefault="00FA1A33" w:rsidP="009B197A">
      <w:pPr>
        <w:autoSpaceDE w:val="0"/>
        <w:autoSpaceDN w:val="0"/>
        <w:adjustRightInd w:val="0"/>
        <w:jc w:val="left"/>
      </w:pPr>
    </w:p>
    <w:p w14:paraId="6D850E00" w14:textId="77777777" w:rsidR="009B197A" w:rsidRDefault="00FA1A33" w:rsidP="009B197A">
      <w:pPr>
        <w:autoSpaceDE w:val="0"/>
        <w:autoSpaceDN w:val="0"/>
        <w:adjustRightInd w:val="0"/>
        <w:jc w:val="left"/>
      </w:pPr>
      <w:r>
        <w:rPr>
          <w:rFonts w:hint="eastAsia"/>
          <w:noProof/>
        </w:rPr>
        <w:drawing>
          <wp:anchor distT="0" distB="0" distL="114300" distR="114300" simplePos="0" relativeHeight="251663360" behindDoc="1" locked="0" layoutInCell="1" allowOverlap="1" wp14:anchorId="15EA8C6D" wp14:editId="6219F721">
            <wp:simplePos x="0" y="0"/>
            <wp:positionH relativeFrom="column">
              <wp:posOffset>110490</wp:posOffset>
            </wp:positionH>
            <wp:positionV relativeFrom="paragraph">
              <wp:posOffset>-288925</wp:posOffset>
            </wp:positionV>
            <wp:extent cx="5267325" cy="3429000"/>
            <wp:effectExtent l="19050" t="0" r="9525" b="0"/>
            <wp:wrapTight wrapText="bothSides">
              <wp:wrapPolygon edited="0">
                <wp:start x="-78" y="0"/>
                <wp:lineTo x="-78" y="21600"/>
                <wp:lineTo x="21639" y="21600"/>
                <wp:lineTo x="21639" y="0"/>
                <wp:lineTo x="-78" y="0"/>
              </wp:wrapPolygon>
            </wp:wrapTight>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B197A">
        <w:rPr>
          <w:rFonts w:hint="eastAsia"/>
        </w:rPr>
        <w:t>（図２）農林水産省　「穀物の需給量、生産量、期末在庫率の推移データ」を参照し作成</w:t>
      </w:r>
    </w:p>
    <w:p w14:paraId="2477086B" w14:textId="77777777" w:rsidR="009B197A" w:rsidRDefault="009B197A" w:rsidP="009B197A">
      <w:r w:rsidRPr="00787CE5">
        <w:t>http://www.maff.go.jp/j/zyukyu/jki/j_zyukyu_kakaku/</w:t>
      </w:r>
    </w:p>
    <w:p w14:paraId="058AB270" w14:textId="77777777" w:rsidR="00082E1E" w:rsidRDefault="009B197A" w:rsidP="009B197A">
      <w:pPr>
        <w:autoSpaceDE w:val="0"/>
        <w:autoSpaceDN w:val="0"/>
        <w:adjustRightInd w:val="0"/>
        <w:jc w:val="left"/>
      </w:pPr>
      <w:r>
        <w:rPr>
          <w:rFonts w:hint="eastAsia"/>
        </w:rPr>
        <w:t xml:space="preserve">　</w:t>
      </w:r>
    </w:p>
    <w:p w14:paraId="34EC23B1" w14:textId="77777777" w:rsidR="00082E1E" w:rsidRDefault="00082E1E" w:rsidP="009B197A">
      <w:pPr>
        <w:autoSpaceDE w:val="0"/>
        <w:autoSpaceDN w:val="0"/>
        <w:adjustRightInd w:val="0"/>
        <w:jc w:val="left"/>
      </w:pPr>
      <w:r>
        <w:rPr>
          <w:rFonts w:hint="eastAsia"/>
        </w:rPr>
        <w:t xml:space="preserve">　３、緑の革命の限界</w:t>
      </w:r>
    </w:p>
    <w:p w14:paraId="62220F32" w14:textId="10FE42EC" w:rsidR="009B197A" w:rsidRDefault="00082E1E" w:rsidP="009B197A">
      <w:pPr>
        <w:autoSpaceDE w:val="0"/>
        <w:autoSpaceDN w:val="0"/>
        <w:adjustRightInd w:val="0"/>
        <w:jc w:val="left"/>
      </w:pPr>
      <w:r>
        <w:rPr>
          <w:rFonts w:hint="eastAsia"/>
        </w:rPr>
        <w:t xml:space="preserve">　</w:t>
      </w:r>
      <w:r w:rsidR="009B197A">
        <w:rPr>
          <w:rFonts w:hint="eastAsia"/>
        </w:rPr>
        <w:t>この「緑の革命」による効率化が今後も</w:t>
      </w:r>
      <w:r w:rsidR="007513CE">
        <w:rPr>
          <w:rFonts w:hint="eastAsia"/>
        </w:rPr>
        <w:t>持続</w:t>
      </w:r>
      <w:r w:rsidR="00FA1A33">
        <w:rPr>
          <w:rFonts w:hint="eastAsia"/>
        </w:rPr>
        <w:t>出来るだろうか</w:t>
      </w:r>
      <w:r w:rsidR="009B197A">
        <w:rPr>
          <w:rFonts w:hint="eastAsia"/>
        </w:rPr>
        <w:t>。</w:t>
      </w:r>
      <w:r w:rsidR="009B197A">
        <w:rPr>
          <w:rFonts w:hint="eastAsia"/>
        </w:rPr>
        <w:t>1970</w:t>
      </w:r>
      <w:r>
        <w:rPr>
          <w:rFonts w:hint="eastAsia"/>
        </w:rPr>
        <w:t>年以降</w:t>
      </w:r>
      <w:r w:rsidR="009B197A">
        <w:rPr>
          <w:rFonts w:hint="eastAsia"/>
        </w:rPr>
        <w:t>の穀物生産量</w:t>
      </w:r>
      <w:r>
        <w:rPr>
          <w:rFonts w:hint="eastAsia"/>
        </w:rPr>
        <w:t>は</w:t>
      </w:r>
      <w:r w:rsidR="009B197A">
        <w:rPr>
          <w:rFonts w:hint="eastAsia"/>
        </w:rPr>
        <w:t>現在に至るまで増加を続けている</w:t>
      </w:r>
      <w:r w:rsidR="006670B4">
        <w:rPr>
          <w:rFonts w:hint="eastAsia"/>
        </w:rPr>
        <w:t>が、実際には、</w:t>
      </w:r>
      <w:r w:rsidR="009B197A">
        <w:rPr>
          <w:rFonts w:hint="eastAsia"/>
        </w:rPr>
        <w:t>その伸び率は鈍化し続けている</w:t>
      </w:r>
      <w:r w:rsidR="00FA1A33">
        <w:rPr>
          <w:rFonts w:hint="eastAsia"/>
        </w:rPr>
        <w:t>のである</w:t>
      </w:r>
      <w:r w:rsidR="009B197A">
        <w:rPr>
          <w:rFonts w:hint="eastAsia"/>
        </w:rPr>
        <w:t>（図</w:t>
      </w:r>
      <w:r w:rsidR="009B197A">
        <w:rPr>
          <w:rFonts w:hint="eastAsia"/>
        </w:rPr>
        <w:t>3</w:t>
      </w:r>
      <w:r w:rsidR="009B197A">
        <w:rPr>
          <w:rFonts w:hint="eastAsia"/>
        </w:rPr>
        <w:t>）。</w:t>
      </w:r>
      <w:r w:rsidR="00C0776A">
        <w:rPr>
          <w:rFonts w:hint="eastAsia"/>
        </w:rPr>
        <w:t>とくに</w:t>
      </w:r>
      <w:r w:rsidR="009B197A">
        <w:rPr>
          <w:rFonts w:hint="eastAsia"/>
        </w:rPr>
        <w:t>これは「緑の革命」による高収量品種</w:t>
      </w:r>
      <w:r w:rsidR="006670B4">
        <w:rPr>
          <w:rFonts w:hint="eastAsia"/>
        </w:rPr>
        <w:t>や</w:t>
      </w:r>
      <w:r w:rsidR="009B197A">
        <w:rPr>
          <w:rFonts w:hint="eastAsia"/>
        </w:rPr>
        <w:t>化学肥料</w:t>
      </w:r>
      <w:r w:rsidR="006670B4">
        <w:rPr>
          <w:rFonts w:hint="eastAsia"/>
        </w:rPr>
        <w:t>の導入</w:t>
      </w:r>
      <w:r w:rsidR="009B197A">
        <w:rPr>
          <w:rFonts w:hint="eastAsia"/>
        </w:rPr>
        <w:t>が途上国、おもにアジアにおいて飽和してしまったからだと考えられる。つまりすでに</w:t>
      </w:r>
      <w:r w:rsidR="00FA1A33">
        <w:rPr>
          <w:rFonts w:hint="eastAsia"/>
        </w:rPr>
        <w:t>「緑の革命」による</w:t>
      </w:r>
      <w:r w:rsidR="009B197A">
        <w:rPr>
          <w:rFonts w:hint="eastAsia"/>
        </w:rPr>
        <w:t>効率化</w:t>
      </w:r>
      <w:r w:rsidR="00187F0B">
        <w:rPr>
          <w:rFonts w:hint="eastAsia"/>
        </w:rPr>
        <w:t>による</w:t>
      </w:r>
      <w:r w:rsidR="006670B4">
        <w:rPr>
          <w:rFonts w:hint="eastAsia"/>
        </w:rPr>
        <w:t>これ以上の</w:t>
      </w:r>
      <w:r w:rsidR="00187F0B">
        <w:rPr>
          <w:rFonts w:hint="eastAsia"/>
        </w:rPr>
        <w:t>食料生産の</w:t>
      </w:r>
      <w:r w:rsidR="009B197A">
        <w:rPr>
          <w:rFonts w:hint="eastAsia"/>
        </w:rPr>
        <w:t>伸びは期待できなくなってしまっていたのである。</w:t>
      </w:r>
      <w:r w:rsidR="00D32252">
        <w:rPr>
          <w:rFonts w:hint="eastAsia"/>
        </w:rPr>
        <w:t>このことから「緑の革命」による効率化は限界</w:t>
      </w:r>
      <w:r w:rsidR="006670B4">
        <w:rPr>
          <w:rFonts w:hint="eastAsia"/>
        </w:rPr>
        <w:t>に達している</w:t>
      </w:r>
      <w:r w:rsidR="00D32252">
        <w:rPr>
          <w:rFonts w:hint="eastAsia"/>
        </w:rPr>
        <w:t>と言える。</w:t>
      </w:r>
    </w:p>
    <w:p w14:paraId="4FADDF75" w14:textId="77777777" w:rsidR="003055B2" w:rsidRDefault="003055B2" w:rsidP="009B197A">
      <w:pPr>
        <w:autoSpaceDE w:val="0"/>
        <w:autoSpaceDN w:val="0"/>
        <w:adjustRightInd w:val="0"/>
        <w:jc w:val="left"/>
      </w:pPr>
    </w:p>
    <w:p w14:paraId="5C6273BA" w14:textId="77777777" w:rsidR="003055B2" w:rsidRDefault="003055B2" w:rsidP="009B197A">
      <w:pPr>
        <w:autoSpaceDE w:val="0"/>
        <w:autoSpaceDN w:val="0"/>
        <w:adjustRightInd w:val="0"/>
        <w:jc w:val="left"/>
      </w:pPr>
      <w:r>
        <w:rPr>
          <w:rFonts w:hint="eastAsia"/>
        </w:rPr>
        <w:t xml:space="preserve">　４、新たな可能性</w:t>
      </w:r>
    </w:p>
    <w:p w14:paraId="52D60C38" w14:textId="6C725102" w:rsidR="00784C14" w:rsidRDefault="00D32252" w:rsidP="00D755FE">
      <w:pPr>
        <w:autoSpaceDE w:val="0"/>
        <w:autoSpaceDN w:val="0"/>
        <w:adjustRightInd w:val="0"/>
        <w:jc w:val="left"/>
      </w:pPr>
      <w:r>
        <w:rPr>
          <w:rFonts w:hint="eastAsia"/>
        </w:rPr>
        <w:t xml:space="preserve">　</w:t>
      </w:r>
      <w:r w:rsidR="003055B2">
        <w:rPr>
          <w:rFonts w:hint="eastAsia"/>
        </w:rPr>
        <w:t>（図</w:t>
      </w:r>
      <w:r w:rsidR="003055B2">
        <w:rPr>
          <w:rFonts w:hint="eastAsia"/>
        </w:rPr>
        <w:t>3</w:t>
      </w:r>
      <w:r w:rsidR="003055B2">
        <w:rPr>
          <w:rFonts w:hint="eastAsia"/>
        </w:rPr>
        <w:t>）において</w:t>
      </w:r>
      <w:r>
        <w:rPr>
          <w:rFonts w:hint="eastAsia"/>
        </w:rPr>
        <w:t>2005</w:t>
      </w:r>
      <w:r>
        <w:rPr>
          <w:rFonts w:hint="eastAsia"/>
        </w:rPr>
        <w:t>年から</w:t>
      </w:r>
      <w:r>
        <w:rPr>
          <w:rFonts w:hint="eastAsia"/>
        </w:rPr>
        <w:t>2009</w:t>
      </w:r>
      <w:r>
        <w:rPr>
          <w:rFonts w:hint="eastAsia"/>
        </w:rPr>
        <w:t>年にかけて伸び率が大幅に向上しているのはバイオエタノール</w:t>
      </w:r>
      <w:r w:rsidR="008C6611">
        <w:rPr>
          <w:rFonts w:hint="eastAsia"/>
        </w:rPr>
        <w:t>という新規需要の登場</w:t>
      </w:r>
      <w:r w:rsidR="006670B4">
        <w:rPr>
          <w:rFonts w:hint="eastAsia"/>
        </w:rPr>
        <w:t>（文献？）</w:t>
      </w:r>
      <w:r w:rsidR="00BD4F3A">
        <w:rPr>
          <w:rFonts w:hint="eastAsia"/>
        </w:rPr>
        <w:t>、それに伴うトウモロコシの生産量増加</w:t>
      </w:r>
      <w:r w:rsidR="006670B4">
        <w:rPr>
          <w:rFonts w:hint="eastAsia"/>
        </w:rPr>
        <w:t>（文献？）</w:t>
      </w:r>
      <w:r w:rsidR="00BD4F3A">
        <w:rPr>
          <w:rFonts w:hint="eastAsia"/>
        </w:rPr>
        <w:t>、バイオエタノール向けの補助金政策を米国がとったことによる農家の生産拡大</w:t>
      </w:r>
      <w:r w:rsidR="006670B4">
        <w:rPr>
          <w:rFonts w:hint="eastAsia"/>
        </w:rPr>
        <w:t>（文献？）</w:t>
      </w:r>
      <w:r w:rsidR="00BD4F3A">
        <w:rPr>
          <w:rFonts w:hint="eastAsia"/>
        </w:rPr>
        <w:t>など様々な要因が考えられ</w:t>
      </w:r>
      <w:r w:rsidR="00D755FE">
        <w:rPr>
          <w:rFonts w:hint="eastAsia"/>
        </w:rPr>
        <w:t>る</w:t>
      </w:r>
      <w:r w:rsidR="00D212FE">
        <w:rPr>
          <w:rFonts w:hint="eastAsia"/>
        </w:rPr>
        <w:t>が</w:t>
      </w:r>
      <w:r w:rsidR="006670B4">
        <w:rPr>
          <w:rFonts w:hint="eastAsia"/>
        </w:rPr>
        <w:t>、</w:t>
      </w:r>
      <w:r w:rsidR="00D212FE">
        <w:rPr>
          <w:rFonts w:hint="eastAsia"/>
        </w:rPr>
        <w:t>同時期に急速に拡大した</w:t>
      </w:r>
      <w:r>
        <w:rPr>
          <w:rFonts w:hint="eastAsia"/>
        </w:rPr>
        <w:t>遺伝子組換え作物の影響</w:t>
      </w:r>
      <w:r w:rsidR="006670B4">
        <w:rPr>
          <w:rFonts w:hint="eastAsia"/>
        </w:rPr>
        <w:t>（文献？）</w:t>
      </w:r>
      <w:r w:rsidR="00784C14">
        <w:rPr>
          <w:rFonts w:hint="eastAsia"/>
        </w:rPr>
        <w:t>についても無視できない</w:t>
      </w:r>
      <w:r>
        <w:rPr>
          <w:rFonts w:hint="eastAsia"/>
        </w:rPr>
        <w:t>。</w:t>
      </w:r>
      <w:r w:rsidR="00784C14">
        <w:rPr>
          <w:rFonts w:hint="eastAsia"/>
        </w:rPr>
        <w:t>次章では、この遺伝子組み換え作物による食糧増産について論ずる。</w:t>
      </w:r>
    </w:p>
    <w:p w14:paraId="69207F07" w14:textId="77777777" w:rsidR="00784C14" w:rsidRDefault="00784C14" w:rsidP="00D755FE">
      <w:pPr>
        <w:autoSpaceDE w:val="0"/>
        <w:autoSpaceDN w:val="0"/>
        <w:adjustRightInd w:val="0"/>
        <w:jc w:val="left"/>
      </w:pPr>
    </w:p>
    <w:p w14:paraId="1EB60BA2" w14:textId="48E90265" w:rsidR="00784C14" w:rsidRDefault="00784C14" w:rsidP="00D755FE">
      <w:pPr>
        <w:autoSpaceDE w:val="0"/>
        <w:autoSpaceDN w:val="0"/>
        <w:adjustRightInd w:val="0"/>
        <w:jc w:val="left"/>
      </w:pPr>
      <w:r>
        <w:rPr>
          <w:rFonts w:hint="eastAsia"/>
        </w:rPr>
        <w:t>第二章</w:t>
      </w:r>
    </w:p>
    <w:p w14:paraId="1CB73C96" w14:textId="77777777" w:rsidR="00784C14" w:rsidRDefault="00784C14" w:rsidP="00D755FE">
      <w:pPr>
        <w:autoSpaceDE w:val="0"/>
        <w:autoSpaceDN w:val="0"/>
        <w:adjustRightInd w:val="0"/>
        <w:jc w:val="left"/>
      </w:pPr>
    </w:p>
    <w:p w14:paraId="240A1D41" w14:textId="77777777" w:rsidR="00D755FE" w:rsidRDefault="00A907E0" w:rsidP="00D32252">
      <w:pPr>
        <w:autoSpaceDE w:val="0"/>
        <w:autoSpaceDN w:val="0"/>
        <w:adjustRightInd w:val="0"/>
        <w:jc w:val="left"/>
      </w:pPr>
      <w:r>
        <w:rPr>
          <w:noProof/>
        </w:rPr>
        <w:drawing>
          <wp:anchor distT="0" distB="0" distL="114300" distR="114300" simplePos="0" relativeHeight="251665408" behindDoc="1" locked="0" layoutInCell="1" allowOverlap="1" wp14:anchorId="192A9C69" wp14:editId="12BF1F72">
            <wp:simplePos x="0" y="0"/>
            <wp:positionH relativeFrom="column">
              <wp:posOffset>-22860</wp:posOffset>
            </wp:positionH>
            <wp:positionV relativeFrom="paragraph">
              <wp:posOffset>358140</wp:posOffset>
            </wp:positionV>
            <wp:extent cx="5400040" cy="4619625"/>
            <wp:effectExtent l="19050" t="0" r="10160" b="0"/>
            <wp:wrapTight wrapText="bothSides">
              <wp:wrapPolygon edited="0">
                <wp:start x="-76" y="0"/>
                <wp:lineTo x="-76" y="21555"/>
                <wp:lineTo x="21641" y="21555"/>
                <wp:lineTo x="21641" y="0"/>
                <wp:lineTo x="-76" y="0"/>
              </wp:wrapPolygon>
            </wp:wrapTight>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310FA64" w14:textId="77777777" w:rsidR="009B197A" w:rsidRPr="00D32252" w:rsidRDefault="009B197A" w:rsidP="009B197A">
      <w:pPr>
        <w:autoSpaceDE w:val="0"/>
        <w:autoSpaceDN w:val="0"/>
        <w:adjustRightInd w:val="0"/>
        <w:jc w:val="left"/>
      </w:pPr>
    </w:p>
    <w:p w14:paraId="2D629583" w14:textId="77777777" w:rsidR="007513CE" w:rsidRDefault="007513CE" w:rsidP="007513CE">
      <w:pPr>
        <w:autoSpaceDE w:val="0"/>
        <w:autoSpaceDN w:val="0"/>
        <w:adjustRightInd w:val="0"/>
        <w:jc w:val="left"/>
      </w:pPr>
      <w:r>
        <w:rPr>
          <w:rFonts w:hint="eastAsia"/>
        </w:rPr>
        <w:t>（図</w:t>
      </w:r>
      <w:r>
        <w:rPr>
          <w:rFonts w:hint="eastAsia"/>
        </w:rPr>
        <w:t>3</w:t>
      </w:r>
      <w:r>
        <w:rPr>
          <w:rFonts w:hint="eastAsia"/>
        </w:rPr>
        <w:t>）農林水産省　「穀物の需給量、生産量、期末在庫率の推移データ」を参照し作成</w:t>
      </w:r>
    </w:p>
    <w:p w14:paraId="3A0E8B7F" w14:textId="77777777" w:rsidR="007513CE" w:rsidRDefault="007513CE" w:rsidP="007513CE">
      <w:r w:rsidRPr="00787CE5">
        <w:t>http://www.maff.go.jp/j/zyukyu/jki/j_zyukyu_kakaku/</w:t>
      </w:r>
    </w:p>
    <w:p w14:paraId="5B0A56DC" w14:textId="77777777" w:rsidR="007513CE" w:rsidRPr="00FC408C" w:rsidRDefault="007513CE" w:rsidP="007513CE">
      <w:r>
        <w:rPr>
          <w:rFonts w:hint="eastAsia"/>
        </w:rPr>
        <w:t>※穀物生産量は年ごとにばらつきがあるため伸び率比較のため</w:t>
      </w:r>
      <w:r>
        <w:rPr>
          <w:rFonts w:hint="eastAsia"/>
        </w:rPr>
        <w:t>5</w:t>
      </w:r>
      <w:r>
        <w:rPr>
          <w:rFonts w:hint="eastAsia"/>
        </w:rPr>
        <w:t>年ごとの合計生産高を前</w:t>
      </w:r>
      <w:r>
        <w:rPr>
          <w:rFonts w:hint="eastAsia"/>
        </w:rPr>
        <w:t>5</w:t>
      </w:r>
      <w:r>
        <w:rPr>
          <w:rFonts w:hint="eastAsia"/>
        </w:rPr>
        <w:t>年生産高と比較することで前年比伸び率を計算</w:t>
      </w:r>
    </w:p>
    <w:p w14:paraId="36B319F4" w14:textId="77777777" w:rsidR="005573C4" w:rsidRDefault="005573C4"/>
    <w:p w14:paraId="0FF76BED" w14:textId="77777777" w:rsidR="008C6611" w:rsidRDefault="008C6611"/>
    <w:p w14:paraId="21F4251D" w14:textId="77777777" w:rsidR="008C6611" w:rsidRDefault="008C6611"/>
    <w:p w14:paraId="2E407DFD" w14:textId="31F1D66A" w:rsidR="00D212FE" w:rsidRDefault="00254CF1">
      <w:r>
        <w:rPr>
          <w:rFonts w:hint="eastAsia"/>
        </w:rPr>
        <w:t>第二章</w:t>
      </w:r>
      <w:r w:rsidR="008C6611">
        <w:rPr>
          <w:rFonts w:hint="eastAsia"/>
        </w:rPr>
        <w:t>遺伝子組換え技術による効率化</w:t>
      </w:r>
    </w:p>
    <w:p w14:paraId="7B2E0C14" w14:textId="77777777" w:rsidR="00D212FE" w:rsidRDefault="00D212FE">
      <w:r>
        <w:rPr>
          <w:rFonts w:hint="eastAsia"/>
        </w:rPr>
        <w:t xml:space="preserve">　前章で述べてきたとおり「緑の革命」では</w:t>
      </w:r>
      <w:r w:rsidR="004317DB">
        <w:rPr>
          <w:rFonts w:hint="eastAsia"/>
        </w:rPr>
        <w:t>19</w:t>
      </w:r>
      <w:r w:rsidR="004317DB">
        <w:rPr>
          <w:rFonts w:hint="eastAsia"/>
        </w:rPr>
        <w:t>９</w:t>
      </w:r>
      <w:r>
        <w:rPr>
          <w:rFonts w:hint="eastAsia"/>
        </w:rPr>
        <w:t>0</w:t>
      </w:r>
      <w:r>
        <w:rPr>
          <w:rFonts w:hint="eastAsia"/>
        </w:rPr>
        <w:t>年代以降の伸びは頭打ちになっておりさらなる効率化、生産量の向上には限界があるとした。そのため飢餓や増え続け得る人類に対応するためには「緑の革命」に代わる新たな効率化が急務である。そこで注目されるものに</w:t>
      </w:r>
      <w:r w:rsidR="00AC7DFA">
        <w:rPr>
          <w:rFonts w:hint="eastAsia"/>
        </w:rPr>
        <w:t>前章（図</w:t>
      </w:r>
      <w:r w:rsidR="00AC7DFA">
        <w:rPr>
          <w:rFonts w:hint="eastAsia"/>
        </w:rPr>
        <w:t>3</w:t>
      </w:r>
      <w:r w:rsidR="00AC7DFA">
        <w:rPr>
          <w:rFonts w:hint="eastAsia"/>
        </w:rPr>
        <w:t>）にあるような</w:t>
      </w:r>
      <w:r>
        <w:rPr>
          <w:rFonts w:hint="eastAsia"/>
        </w:rPr>
        <w:t>2000</w:t>
      </w:r>
      <w:r>
        <w:rPr>
          <w:rFonts w:hint="eastAsia"/>
        </w:rPr>
        <w:t>年以降の</w:t>
      </w:r>
      <w:r w:rsidR="00AC7DFA">
        <w:rPr>
          <w:rFonts w:hint="eastAsia"/>
        </w:rPr>
        <w:t>穀物</w:t>
      </w:r>
      <w:r w:rsidR="00215687">
        <w:rPr>
          <w:rFonts w:hint="eastAsia"/>
        </w:rPr>
        <w:t>生産量の伸びをもたらす一因となった</w:t>
      </w:r>
      <w:r>
        <w:rPr>
          <w:rFonts w:hint="eastAsia"/>
        </w:rPr>
        <w:t>「遺伝子組換え作物」がある、</w:t>
      </w:r>
    </w:p>
    <w:p w14:paraId="30924BCF" w14:textId="77777777" w:rsidR="0028093D" w:rsidRDefault="004317DB">
      <w:r>
        <w:rPr>
          <w:rFonts w:hint="eastAsia"/>
        </w:rPr>
        <w:t xml:space="preserve">　</w:t>
      </w:r>
    </w:p>
    <w:p w14:paraId="77731771" w14:textId="77777777" w:rsidR="004317DB" w:rsidRDefault="004317DB">
      <w:r>
        <w:rPr>
          <w:rFonts w:hint="eastAsia"/>
        </w:rPr>
        <w:t>１、遺伝子組換え作物とは</w:t>
      </w:r>
    </w:p>
    <w:p w14:paraId="155742B0" w14:textId="77777777" w:rsidR="00F310CB" w:rsidRDefault="00D212FE" w:rsidP="009A2E09">
      <w:r>
        <w:rPr>
          <w:rFonts w:hint="eastAsia"/>
        </w:rPr>
        <w:t xml:space="preserve">　</w:t>
      </w:r>
      <w:r w:rsidR="004317DB">
        <w:rPr>
          <w:rFonts w:hint="eastAsia"/>
        </w:rPr>
        <w:t>遺伝子</w:t>
      </w:r>
      <w:r w:rsidR="00D356C9">
        <w:rPr>
          <w:rFonts w:hint="eastAsia"/>
        </w:rPr>
        <w:t>組換え作物</w:t>
      </w:r>
      <w:r>
        <w:rPr>
          <w:rFonts w:hint="eastAsia"/>
        </w:rPr>
        <w:t>とは</w:t>
      </w:r>
      <w:r w:rsidR="00994215">
        <w:rPr>
          <w:rFonts w:hint="eastAsia"/>
        </w:rPr>
        <w:t>新たな遺伝子の導入や遺伝子を操作することで生み出した作物であ</w:t>
      </w:r>
      <w:r w:rsidR="00D356C9">
        <w:rPr>
          <w:rFonts w:hint="eastAsia"/>
        </w:rPr>
        <w:t>る。</w:t>
      </w:r>
      <w:r w:rsidR="00994215">
        <w:rPr>
          <w:rFonts w:hint="eastAsia"/>
        </w:rPr>
        <w:t>従来の品種改良では生み出すことのできない形質も実現することができるため注目されている</w:t>
      </w:r>
      <w:r w:rsidR="00B244D3">
        <w:rPr>
          <w:rFonts w:hint="eastAsia"/>
        </w:rPr>
        <w:t>。遺伝子組換え作物の商業栽培の歴史は</w:t>
      </w:r>
      <w:r w:rsidR="00AC7DFA">
        <w:rPr>
          <w:rFonts w:hint="eastAsia"/>
        </w:rPr>
        <w:t>1996</w:t>
      </w:r>
      <w:r w:rsidR="00B244D3">
        <w:rPr>
          <w:rFonts w:hint="eastAsia"/>
        </w:rPr>
        <w:t>年のアメリカ</w:t>
      </w:r>
      <w:r w:rsidR="00D356C9">
        <w:rPr>
          <w:rFonts w:hint="eastAsia"/>
        </w:rPr>
        <w:t>で始まり</w:t>
      </w:r>
      <w:r w:rsidR="00AC7DFA">
        <w:rPr>
          <w:rFonts w:hint="eastAsia"/>
        </w:rPr>
        <w:t>、その後</w:t>
      </w:r>
      <w:r w:rsidR="00AC7DFA">
        <w:rPr>
          <w:rFonts w:hint="eastAsia"/>
        </w:rPr>
        <w:t>2012</w:t>
      </w:r>
      <w:r w:rsidR="00AC7DFA">
        <w:rPr>
          <w:rFonts w:hint="eastAsia"/>
        </w:rPr>
        <w:t>年までに</w:t>
      </w:r>
      <w:r w:rsidR="00AC7DFA">
        <w:rPr>
          <w:rFonts w:hint="eastAsia"/>
        </w:rPr>
        <w:t>28</w:t>
      </w:r>
      <w:r w:rsidR="00B244D3">
        <w:rPr>
          <w:rFonts w:hint="eastAsia"/>
        </w:rPr>
        <w:t>カ国でも</w:t>
      </w:r>
      <w:r w:rsidR="00AC7DFA">
        <w:rPr>
          <w:rFonts w:hint="eastAsia"/>
        </w:rPr>
        <w:t>栽培が始まっている。</w:t>
      </w:r>
      <w:r w:rsidR="00AC7DFA">
        <w:rPr>
          <w:rStyle w:val="a9"/>
        </w:rPr>
        <w:footnoteReference w:id="5"/>
      </w:r>
      <w:r w:rsidR="004317DB">
        <w:rPr>
          <w:rFonts w:hint="eastAsia"/>
        </w:rPr>
        <w:t>世界の遺伝子組み換え作物導入率を栽培面積で表すとダイズ</w:t>
      </w:r>
      <w:r w:rsidR="00AC7DFA">
        <w:rPr>
          <w:rFonts w:hint="eastAsia"/>
        </w:rPr>
        <w:t>は</w:t>
      </w:r>
      <w:r w:rsidR="00AC7DFA">
        <w:rPr>
          <w:rFonts w:hint="eastAsia"/>
        </w:rPr>
        <w:t>47</w:t>
      </w:r>
      <w:r w:rsidR="00AC7DFA">
        <w:rPr>
          <w:rFonts w:hint="eastAsia"/>
        </w:rPr>
        <w:t>％、トウモロコシは</w:t>
      </w:r>
      <w:r w:rsidR="00AC7DFA">
        <w:rPr>
          <w:rFonts w:hint="eastAsia"/>
        </w:rPr>
        <w:t>32</w:t>
      </w:r>
      <w:r w:rsidR="00AC7DFA">
        <w:rPr>
          <w:rFonts w:hint="eastAsia"/>
        </w:rPr>
        <w:t>％、</w:t>
      </w:r>
      <w:r w:rsidR="009A2E09">
        <w:rPr>
          <w:rFonts w:hint="eastAsia"/>
        </w:rPr>
        <w:t>ワタは</w:t>
      </w:r>
      <w:r w:rsidR="009A2E09">
        <w:rPr>
          <w:rFonts w:hint="eastAsia"/>
        </w:rPr>
        <w:t>15</w:t>
      </w:r>
      <w:r w:rsidR="009A2E09">
        <w:rPr>
          <w:rFonts w:hint="eastAsia"/>
        </w:rPr>
        <w:t>％、ナタネは</w:t>
      </w:r>
      <w:r w:rsidR="009A2E09">
        <w:rPr>
          <w:rFonts w:hint="eastAsia"/>
        </w:rPr>
        <w:t>5</w:t>
      </w:r>
      <w:r w:rsidR="009A2E09">
        <w:rPr>
          <w:rFonts w:hint="eastAsia"/>
        </w:rPr>
        <w:t>％</w:t>
      </w:r>
      <w:r w:rsidR="004317DB">
        <w:rPr>
          <w:rFonts w:hint="eastAsia"/>
        </w:rPr>
        <w:t>（</w:t>
      </w:r>
      <w:r w:rsidR="004317DB">
        <w:rPr>
          <w:rFonts w:hint="eastAsia"/>
        </w:rPr>
        <w:t>2011</w:t>
      </w:r>
      <w:r w:rsidR="004317DB">
        <w:rPr>
          <w:rFonts w:hint="eastAsia"/>
        </w:rPr>
        <w:t>年）</w:t>
      </w:r>
      <w:r w:rsidR="009A2E09">
        <w:rPr>
          <w:rFonts w:hint="eastAsia"/>
        </w:rPr>
        <w:t>が遺伝子組換え作物</w:t>
      </w:r>
      <w:r w:rsidR="00F310CB">
        <w:rPr>
          <w:rFonts w:hint="eastAsia"/>
        </w:rPr>
        <w:t>になっている</w:t>
      </w:r>
      <w:r w:rsidR="009A2E09">
        <w:rPr>
          <w:rFonts w:hint="eastAsia"/>
        </w:rPr>
        <w:t>。</w:t>
      </w:r>
      <w:r w:rsidR="009A2E09">
        <w:rPr>
          <w:rStyle w:val="a9"/>
        </w:rPr>
        <w:footnoteReference w:id="6"/>
      </w:r>
    </w:p>
    <w:p w14:paraId="4FA61E7F" w14:textId="77777777" w:rsidR="0028093D" w:rsidRDefault="004317DB" w:rsidP="009A2E09">
      <w:r>
        <w:rPr>
          <w:rFonts w:hint="eastAsia"/>
        </w:rPr>
        <w:t xml:space="preserve">　</w:t>
      </w:r>
    </w:p>
    <w:p w14:paraId="32ECCFB2" w14:textId="77777777" w:rsidR="004317DB" w:rsidRDefault="004317DB" w:rsidP="009A2E09">
      <w:r>
        <w:rPr>
          <w:rFonts w:hint="eastAsia"/>
        </w:rPr>
        <w:t>２、遺伝子組換え作物の形質</w:t>
      </w:r>
    </w:p>
    <w:p w14:paraId="41E8A62C" w14:textId="77777777" w:rsidR="0028093D" w:rsidRDefault="00F310CB" w:rsidP="009A2E09">
      <w:r>
        <w:rPr>
          <w:rFonts w:hint="eastAsia"/>
        </w:rPr>
        <w:t xml:space="preserve">　</w:t>
      </w:r>
      <w:r w:rsidR="009A2E09">
        <w:rPr>
          <w:rFonts w:hint="eastAsia"/>
        </w:rPr>
        <w:t>現在普及している</w:t>
      </w:r>
      <w:r w:rsidR="0028093D">
        <w:rPr>
          <w:rFonts w:hint="eastAsia"/>
        </w:rPr>
        <w:t>主な</w:t>
      </w:r>
      <w:r w:rsidR="009A2E09">
        <w:rPr>
          <w:rFonts w:hint="eastAsia"/>
        </w:rPr>
        <w:t>形質は</w:t>
      </w:r>
      <w:r w:rsidR="0028093D">
        <w:rPr>
          <w:rFonts w:hint="eastAsia"/>
        </w:rPr>
        <w:t>以下の</w:t>
      </w:r>
      <w:r w:rsidR="0028093D">
        <w:rPr>
          <w:rFonts w:hint="eastAsia"/>
        </w:rPr>
        <w:t>2</w:t>
      </w:r>
      <w:r w:rsidR="0028093D">
        <w:rPr>
          <w:rFonts w:hint="eastAsia"/>
        </w:rPr>
        <w:t>つである</w:t>
      </w:r>
      <w:r w:rsidR="009A2E09">
        <w:rPr>
          <w:rFonts w:hint="eastAsia"/>
        </w:rPr>
        <w:t>。</w:t>
      </w:r>
    </w:p>
    <w:p w14:paraId="153BBCE7" w14:textId="77777777" w:rsidR="0028093D" w:rsidRDefault="0028093D" w:rsidP="009A2E09">
      <w:r>
        <w:rPr>
          <w:rFonts w:hint="eastAsia"/>
        </w:rPr>
        <w:t>Ⅰ</w:t>
      </w:r>
      <w:r w:rsidR="006B6AE3">
        <w:rPr>
          <w:rFonts w:hint="eastAsia"/>
        </w:rPr>
        <w:t>．</w:t>
      </w:r>
      <w:r w:rsidR="00804539" w:rsidRPr="00B451AB">
        <w:rPr>
          <w:rFonts w:hint="eastAsia"/>
          <w:szCs w:val="21"/>
        </w:rPr>
        <w:t>特定の除草剤に耐性を持つ遺伝子を組み込むことにより、</w:t>
      </w:r>
      <w:r w:rsidR="00804539">
        <w:rPr>
          <w:rFonts w:hint="eastAsia"/>
          <w:szCs w:val="21"/>
        </w:rPr>
        <w:t>その除草剤をまいても枯れないようにした</w:t>
      </w:r>
      <w:r w:rsidR="0079251D">
        <w:rPr>
          <w:rFonts w:hint="eastAsia"/>
          <w:szCs w:val="21"/>
        </w:rPr>
        <w:t>「</w:t>
      </w:r>
      <w:r w:rsidR="009A2E09">
        <w:rPr>
          <w:rFonts w:hint="eastAsia"/>
        </w:rPr>
        <w:t>除草剤耐性</w:t>
      </w:r>
      <w:r w:rsidR="0079251D">
        <w:rPr>
          <w:rFonts w:hint="eastAsia"/>
        </w:rPr>
        <w:t>」</w:t>
      </w:r>
    </w:p>
    <w:p w14:paraId="2FCAB85F" w14:textId="77777777" w:rsidR="009A2E09" w:rsidRDefault="0028093D" w:rsidP="009A2E09">
      <w:r>
        <w:rPr>
          <w:rFonts w:hint="eastAsia"/>
        </w:rPr>
        <w:t>Ⅱ</w:t>
      </w:r>
      <w:r w:rsidR="00F165D2">
        <w:rPr>
          <w:rFonts w:hint="eastAsia"/>
        </w:rPr>
        <w:t>.</w:t>
      </w:r>
      <w:r w:rsidR="00804539" w:rsidRPr="00CE0B02">
        <w:rPr>
          <w:rFonts w:hint="eastAsia"/>
        </w:rPr>
        <w:t>土壌微生物由来の殺虫タンパク質（</w:t>
      </w:r>
      <w:r w:rsidR="00804539" w:rsidRPr="00CE0B02">
        <w:rPr>
          <w:rFonts w:hint="eastAsia"/>
        </w:rPr>
        <w:t>Bt</w:t>
      </w:r>
      <w:r w:rsidR="00804539" w:rsidRPr="00CE0B02">
        <w:rPr>
          <w:rFonts w:hint="eastAsia"/>
        </w:rPr>
        <w:t>タンパク質）を作る遺</w:t>
      </w:r>
      <w:r w:rsidR="00804539">
        <w:rPr>
          <w:rFonts w:hint="eastAsia"/>
        </w:rPr>
        <w:t>伝子を組み込むことによって、特定の害虫に抵抗性を持たせた</w:t>
      </w:r>
      <w:r w:rsidR="0079251D">
        <w:rPr>
          <w:rFonts w:hint="eastAsia"/>
        </w:rPr>
        <w:t>「</w:t>
      </w:r>
      <w:r w:rsidR="009A2E09">
        <w:rPr>
          <w:rFonts w:hint="eastAsia"/>
        </w:rPr>
        <w:t>害虫抵抗性</w:t>
      </w:r>
      <w:r w:rsidR="0079251D">
        <w:rPr>
          <w:rFonts w:hint="eastAsia"/>
        </w:rPr>
        <w:t>」</w:t>
      </w:r>
      <w:r w:rsidR="00BE15AF">
        <w:rPr>
          <w:rFonts w:hint="eastAsia"/>
        </w:rPr>
        <w:t>（</w:t>
      </w:r>
      <w:r w:rsidR="00BE15AF">
        <w:rPr>
          <w:rFonts w:hint="eastAsia"/>
        </w:rPr>
        <w:t>Bt</w:t>
      </w:r>
      <w:r w:rsidR="00BE15AF">
        <w:rPr>
          <w:rFonts w:hint="eastAsia"/>
        </w:rPr>
        <w:t>作物）</w:t>
      </w:r>
    </w:p>
    <w:p w14:paraId="0F0FCECF" w14:textId="77777777" w:rsidR="00F165D2" w:rsidRDefault="009A2E09" w:rsidP="00E235FC">
      <w:r>
        <w:rPr>
          <w:rFonts w:hint="eastAsia"/>
          <w:szCs w:val="21"/>
        </w:rPr>
        <w:t xml:space="preserve">　</w:t>
      </w:r>
      <w:r w:rsidR="00F165D2">
        <w:rPr>
          <w:rFonts w:hint="eastAsia"/>
          <w:szCs w:val="21"/>
        </w:rPr>
        <w:t>（</w:t>
      </w:r>
      <w:r w:rsidR="0028093D">
        <w:t>害虫抵抗性と除草剤耐性の両方を併せ持つ</w:t>
      </w:r>
      <w:r w:rsidR="0028093D">
        <w:rPr>
          <w:rFonts w:hint="eastAsia"/>
        </w:rPr>
        <w:t>スタック</w:t>
      </w:r>
      <w:r w:rsidR="0028093D">
        <w:t>品種</w:t>
      </w:r>
      <w:r w:rsidR="0028093D">
        <w:rPr>
          <w:rFonts w:hint="eastAsia"/>
        </w:rPr>
        <w:t>も存在</w:t>
      </w:r>
      <w:r w:rsidR="00F165D2">
        <w:rPr>
          <w:rFonts w:hint="eastAsia"/>
        </w:rPr>
        <w:t>する。）</w:t>
      </w:r>
    </w:p>
    <w:p w14:paraId="6C7D9AD0" w14:textId="77777777" w:rsidR="00E235FC" w:rsidRDefault="006B6AE3" w:rsidP="00E235FC">
      <w:pPr>
        <w:rPr>
          <w:szCs w:val="21"/>
        </w:rPr>
      </w:pPr>
      <w:r>
        <w:rPr>
          <w:rFonts w:hint="eastAsia"/>
        </w:rPr>
        <w:t xml:space="preserve">　</w:t>
      </w:r>
      <w:r w:rsidR="00F165D2">
        <w:rPr>
          <w:rFonts w:hint="eastAsia"/>
        </w:rPr>
        <w:t>2</w:t>
      </w:r>
      <w:r w:rsidR="00F165D2">
        <w:rPr>
          <w:rFonts w:hint="eastAsia"/>
        </w:rPr>
        <w:t>つの形質の利点は以下のとおりである</w:t>
      </w:r>
    </w:p>
    <w:p w14:paraId="29A8FF92" w14:textId="77777777" w:rsidR="00287B14" w:rsidRDefault="00F05CE5" w:rsidP="009A2E09">
      <w:pPr>
        <w:rPr>
          <w:szCs w:val="21"/>
        </w:rPr>
      </w:pPr>
      <w:r>
        <w:rPr>
          <w:rFonts w:hint="eastAsia"/>
          <w:szCs w:val="21"/>
        </w:rPr>
        <w:t xml:space="preserve">　</w:t>
      </w:r>
    </w:p>
    <w:p w14:paraId="53614DFE" w14:textId="77777777" w:rsidR="00F165D2" w:rsidRDefault="00F165D2" w:rsidP="009A2E09">
      <w:pPr>
        <w:rPr>
          <w:szCs w:val="21"/>
        </w:rPr>
      </w:pPr>
      <w:r>
        <w:rPr>
          <w:rFonts w:hint="eastAsia"/>
          <w:szCs w:val="21"/>
        </w:rPr>
        <w:t>３、除草剤耐性の利点</w:t>
      </w:r>
    </w:p>
    <w:p w14:paraId="56F9EDD3" w14:textId="77777777" w:rsidR="00804539" w:rsidRDefault="00F165D2" w:rsidP="009A2E09">
      <w:pPr>
        <w:rPr>
          <w:szCs w:val="21"/>
        </w:rPr>
      </w:pPr>
      <w:r>
        <w:rPr>
          <w:rFonts w:hint="eastAsia"/>
          <w:szCs w:val="21"/>
        </w:rPr>
        <w:t>Ⅰ</w:t>
      </w:r>
      <w:r w:rsidR="006B6AE3">
        <w:rPr>
          <w:rFonts w:hint="eastAsia"/>
          <w:szCs w:val="21"/>
        </w:rPr>
        <w:t>．</w:t>
      </w:r>
      <w:r w:rsidR="00070B0F">
        <w:rPr>
          <w:rFonts w:hint="eastAsia"/>
          <w:szCs w:val="21"/>
        </w:rPr>
        <w:t>除草効率が上がる</w:t>
      </w:r>
    </w:p>
    <w:p w14:paraId="4D25AEB7" w14:textId="77777777" w:rsidR="00F05CE5" w:rsidRPr="00BF1FA8" w:rsidRDefault="00102DCB" w:rsidP="009A2E09">
      <w:pPr>
        <w:rPr>
          <w:szCs w:val="21"/>
        </w:rPr>
      </w:pPr>
      <w:r>
        <w:rPr>
          <w:rFonts w:hint="eastAsia"/>
          <w:szCs w:val="21"/>
        </w:rPr>
        <w:t xml:space="preserve">　</w:t>
      </w:r>
      <w:r w:rsidR="00F05CE5">
        <w:rPr>
          <w:rFonts w:hint="eastAsia"/>
          <w:szCs w:val="21"/>
        </w:rPr>
        <w:t>除草の際に</w:t>
      </w:r>
      <w:r w:rsidR="002D58B9">
        <w:rPr>
          <w:rFonts w:hint="eastAsia"/>
          <w:szCs w:val="21"/>
        </w:rPr>
        <w:t>従来の方法では</w:t>
      </w:r>
      <w:r w:rsidR="00B503DB">
        <w:rPr>
          <w:rFonts w:hint="eastAsia"/>
          <w:szCs w:val="21"/>
        </w:rPr>
        <w:t>農作物そのものが枯れないように</w:t>
      </w:r>
      <w:r>
        <w:rPr>
          <w:rFonts w:hint="eastAsia"/>
          <w:szCs w:val="21"/>
        </w:rPr>
        <w:t>雑草の種類に合わせ</w:t>
      </w:r>
      <w:r w:rsidR="00F05CE5">
        <w:rPr>
          <w:rFonts w:hint="eastAsia"/>
          <w:szCs w:val="21"/>
        </w:rPr>
        <w:t>散布時期の調整や数種類の除草剤を使う必要があった。しかし</w:t>
      </w:r>
      <w:r w:rsidR="00B503DB">
        <w:rPr>
          <w:rFonts w:hint="eastAsia"/>
          <w:szCs w:val="21"/>
        </w:rPr>
        <w:t>除草剤耐性作物の場合は特定の除草剤では枯れない。そのためすべての雑草を枯らす非選択性の除草剤に耐性を持たせることで農作物</w:t>
      </w:r>
      <w:r w:rsidR="002D58B9">
        <w:rPr>
          <w:rFonts w:hint="eastAsia"/>
          <w:szCs w:val="21"/>
        </w:rPr>
        <w:t>に被害を与えず</w:t>
      </w:r>
      <w:r w:rsidR="00B503DB">
        <w:rPr>
          <w:rFonts w:hint="eastAsia"/>
          <w:szCs w:val="21"/>
        </w:rPr>
        <w:t>雑草だけを効率的に</w:t>
      </w:r>
      <w:r w:rsidR="002D58B9">
        <w:rPr>
          <w:rFonts w:hint="eastAsia"/>
          <w:szCs w:val="21"/>
        </w:rPr>
        <w:t>除草すること</w:t>
      </w:r>
      <w:r w:rsidR="00B503DB">
        <w:rPr>
          <w:rFonts w:hint="eastAsia"/>
          <w:szCs w:val="21"/>
        </w:rPr>
        <w:t>ができる。</w:t>
      </w:r>
      <w:r w:rsidR="002D58B9">
        <w:rPr>
          <w:rFonts w:hint="eastAsia"/>
          <w:szCs w:val="21"/>
        </w:rPr>
        <w:t>これにより</w:t>
      </w:r>
      <w:r w:rsidR="00B503DB">
        <w:rPr>
          <w:rFonts w:hint="eastAsia"/>
          <w:szCs w:val="21"/>
        </w:rPr>
        <w:t>除草効率が上がるだけでなく除草剤の量も減らすことができる</w:t>
      </w:r>
      <w:r>
        <w:rPr>
          <w:rFonts w:hint="eastAsia"/>
          <w:szCs w:val="21"/>
        </w:rPr>
        <w:t>。</w:t>
      </w:r>
      <w:r w:rsidR="00BF1FA8">
        <w:rPr>
          <w:rFonts w:hint="eastAsia"/>
          <w:szCs w:val="21"/>
        </w:rPr>
        <w:t>ISAAA</w:t>
      </w:r>
      <w:r w:rsidR="00BF1FA8">
        <w:rPr>
          <w:rFonts w:hint="eastAsia"/>
          <w:szCs w:val="21"/>
        </w:rPr>
        <w:t>によると</w:t>
      </w:r>
      <w:r w:rsidR="00BF1FA8" w:rsidRPr="00375E30">
        <w:rPr>
          <w:rFonts w:asciiTheme="minorEastAsia" w:hAnsiTheme="minorEastAsia" w:hint="eastAsia"/>
          <w:szCs w:val="21"/>
        </w:rPr>
        <w:t>「1996年から2010年にかけて（中略）農薬使用量を44万3000トン（有効成分量）減少」としている。</w:t>
      </w:r>
      <w:r w:rsidR="00BF1FA8" w:rsidRPr="00375E30">
        <w:rPr>
          <w:rStyle w:val="a9"/>
          <w:rFonts w:asciiTheme="minorEastAsia" w:hAnsiTheme="minorEastAsia"/>
          <w:szCs w:val="21"/>
        </w:rPr>
        <w:footnoteReference w:id="7"/>
      </w:r>
    </w:p>
    <w:p w14:paraId="39AC6E02" w14:textId="77777777" w:rsidR="00070B0F" w:rsidRDefault="00BF1FA8" w:rsidP="009A2E09">
      <w:pPr>
        <w:rPr>
          <w:szCs w:val="21"/>
        </w:rPr>
      </w:pPr>
      <w:r>
        <w:rPr>
          <w:rFonts w:hint="eastAsia"/>
          <w:szCs w:val="21"/>
        </w:rPr>
        <w:t xml:space="preserve">　</w:t>
      </w:r>
    </w:p>
    <w:p w14:paraId="2705202A" w14:textId="77777777" w:rsidR="00F165D2" w:rsidRDefault="00F165D2" w:rsidP="009A2E09">
      <w:pPr>
        <w:rPr>
          <w:szCs w:val="21"/>
        </w:rPr>
      </w:pPr>
      <w:r>
        <w:rPr>
          <w:rFonts w:hint="eastAsia"/>
          <w:szCs w:val="21"/>
        </w:rPr>
        <w:t>Ⅱ</w:t>
      </w:r>
      <w:r w:rsidR="006B6AE3">
        <w:rPr>
          <w:rFonts w:hint="eastAsia"/>
          <w:szCs w:val="21"/>
        </w:rPr>
        <w:t>．</w:t>
      </w:r>
      <w:r w:rsidR="00BF1FA8">
        <w:rPr>
          <w:rFonts w:hint="eastAsia"/>
          <w:szCs w:val="21"/>
        </w:rPr>
        <w:t>不耕起栽培</w:t>
      </w:r>
      <w:r w:rsidR="00070B0F">
        <w:rPr>
          <w:rFonts w:hint="eastAsia"/>
          <w:szCs w:val="21"/>
        </w:rPr>
        <w:t>が行える</w:t>
      </w:r>
    </w:p>
    <w:p w14:paraId="0AAFB225" w14:textId="77777777" w:rsidR="00804539" w:rsidRDefault="00070B0F" w:rsidP="009A2E09">
      <w:pPr>
        <w:rPr>
          <w:szCs w:val="21"/>
        </w:rPr>
      </w:pPr>
      <w:r>
        <w:rPr>
          <w:rFonts w:hint="eastAsia"/>
          <w:szCs w:val="21"/>
        </w:rPr>
        <w:t xml:space="preserve">　通常の栽培方法ではまずトラクターなどで耕し物理的に雑草を除去する必要があ</w:t>
      </w:r>
      <w:r w:rsidR="006E3A38">
        <w:rPr>
          <w:rFonts w:hint="eastAsia"/>
          <w:szCs w:val="21"/>
        </w:rPr>
        <w:t>る</w:t>
      </w:r>
      <w:r>
        <w:rPr>
          <w:rFonts w:hint="eastAsia"/>
          <w:szCs w:val="21"/>
        </w:rPr>
        <w:t>。しかし除草剤耐性作物の場合雑草を</w:t>
      </w:r>
      <w:r w:rsidR="006E3A38">
        <w:rPr>
          <w:rFonts w:hint="eastAsia"/>
          <w:szCs w:val="21"/>
        </w:rPr>
        <w:t>非選択性除草剤で一度に除草することができるため耕す必要がない。そのため</w:t>
      </w:r>
      <w:r w:rsidR="00C35580">
        <w:rPr>
          <w:rFonts w:hint="eastAsia"/>
          <w:szCs w:val="21"/>
        </w:rPr>
        <w:t>耕すコストや手間が減らせること、前作の作物の残りが地表に残るためそれが土壌を保護し土壌流出を防ぐため環境の保護に</w:t>
      </w:r>
      <w:r w:rsidR="00C90CE6">
        <w:rPr>
          <w:rFonts w:hint="eastAsia"/>
          <w:szCs w:val="21"/>
        </w:rPr>
        <w:t>も</w:t>
      </w:r>
      <w:r w:rsidR="00C35580">
        <w:rPr>
          <w:rFonts w:hint="eastAsia"/>
          <w:szCs w:val="21"/>
        </w:rPr>
        <w:t>つながることが利点である。</w:t>
      </w:r>
    </w:p>
    <w:p w14:paraId="1151E27A" w14:textId="77777777" w:rsidR="00C35580" w:rsidRDefault="00F165D2" w:rsidP="009A2E09">
      <w:pPr>
        <w:rPr>
          <w:szCs w:val="21"/>
        </w:rPr>
      </w:pPr>
      <w:r>
        <w:rPr>
          <w:rFonts w:hint="eastAsia"/>
          <w:szCs w:val="21"/>
        </w:rPr>
        <w:t xml:space="preserve">　</w:t>
      </w:r>
    </w:p>
    <w:p w14:paraId="0D6A1C2B" w14:textId="77777777" w:rsidR="00F165D2" w:rsidRDefault="00F165D2" w:rsidP="009A2E09">
      <w:pPr>
        <w:rPr>
          <w:szCs w:val="21"/>
        </w:rPr>
      </w:pPr>
      <w:r>
        <w:rPr>
          <w:rFonts w:hint="eastAsia"/>
          <w:szCs w:val="21"/>
        </w:rPr>
        <w:t>Ⅲ</w:t>
      </w:r>
      <w:r>
        <w:rPr>
          <w:rFonts w:hint="eastAsia"/>
          <w:szCs w:val="21"/>
        </w:rPr>
        <w:t>.</w:t>
      </w:r>
      <w:r w:rsidR="006B6AE3">
        <w:rPr>
          <w:rFonts w:hint="eastAsia"/>
          <w:szCs w:val="21"/>
        </w:rPr>
        <w:t>．大豆の</w:t>
      </w:r>
      <w:r>
        <w:rPr>
          <w:rFonts w:hint="eastAsia"/>
          <w:szCs w:val="21"/>
        </w:rPr>
        <w:t>高密度栽培が可能になる</w:t>
      </w:r>
    </w:p>
    <w:p w14:paraId="3AC759CA" w14:textId="77777777" w:rsidR="00F165D2" w:rsidRDefault="00F165D2" w:rsidP="00F165D2">
      <w:r>
        <w:rPr>
          <w:rFonts w:hint="eastAsia"/>
        </w:rPr>
        <w:t xml:space="preserve"> </w:t>
      </w:r>
      <w:r>
        <w:rPr>
          <w:rFonts w:hint="eastAsia"/>
        </w:rPr>
        <w:t>大豆の場合、従来の手法では</w:t>
      </w:r>
      <w:r>
        <w:t>畝</w:t>
      </w:r>
      <w:r>
        <w:rPr>
          <w:rFonts w:hint="eastAsia"/>
        </w:rPr>
        <w:t>（うね）</w:t>
      </w:r>
      <w:r>
        <w:t>の間を機械で除草する</w:t>
      </w:r>
      <w:r>
        <w:rPr>
          <w:rFonts w:hint="eastAsia"/>
        </w:rPr>
        <w:t>ためその機械が通るだけの隙間を農地に設ける必要があった。そのため</w:t>
      </w:r>
      <w:r>
        <w:t>米国北東部では１ヘクタールあたり約６０万株</w:t>
      </w:r>
      <w:r>
        <w:rPr>
          <w:rFonts w:hint="eastAsia"/>
        </w:rPr>
        <w:t>が限界であった。しかし除草剤耐性作物である大豆を利用する場合機械での除草</w:t>
      </w:r>
      <w:r>
        <w:t>代わりに、除草剤を上空から散布する栽培法</w:t>
      </w:r>
      <w:r>
        <w:rPr>
          <w:rFonts w:hint="eastAsia"/>
        </w:rPr>
        <w:t>を行うため畝を狭くし農地を有効活用できるようになったのである</w:t>
      </w:r>
      <w:r>
        <w:t>。そのため</w:t>
      </w:r>
      <w:r>
        <w:rPr>
          <w:rFonts w:hint="eastAsia"/>
        </w:rPr>
        <w:t>従来以上の１ヘクター</w:t>
      </w:r>
      <w:r>
        <w:t>ルあたり約</w:t>
      </w:r>
      <w:r>
        <w:rPr>
          <w:rFonts w:hint="eastAsia"/>
        </w:rPr>
        <w:t>８</w:t>
      </w:r>
      <w:r>
        <w:t>０万株</w:t>
      </w:r>
      <w:r>
        <w:rPr>
          <w:rFonts w:hint="eastAsia"/>
        </w:rPr>
        <w:t>という</w:t>
      </w:r>
      <w:r>
        <w:t>高密度栽培で高い収穫量を得ることが可能にな</w:t>
      </w:r>
      <w:r>
        <w:rPr>
          <w:rFonts w:hint="eastAsia"/>
        </w:rPr>
        <w:t>った。</w:t>
      </w:r>
      <w:r>
        <w:rPr>
          <w:rStyle w:val="a9"/>
        </w:rPr>
        <w:footnoteReference w:id="8"/>
      </w:r>
    </w:p>
    <w:p w14:paraId="0CCC6EC1" w14:textId="77777777" w:rsidR="00F165D2" w:rsidRDefault="00F165D2" w:rsidP="009A2E09">
      <w:pPr>
        <w:rPr>
          <w:szCs w:val="21"/>
        </w:rPr>
      </w:pPr>
    </w:p>
    <w:p w14:paraId="19C1A9D3" w14:textId="77777777" w:rsidR="00F165D2" w:rsidRDefault="00F165D2" w:rsidP="009A2E09">
      <w:pPr>
        <w:rPr>
          <w:szCs w:val="21"/>
        </w:rPr>
      </w:pPr>
      <w:r>
        <w:rPr>
          <w:rFonts w:hint="eastAsia"/>
          <w:szCs w:val="21"/>
        </w:rPr>
        <w:t>４、害虫抵抗性の利点</w:t>
      </w:r>
    </w:p>
    <w:p w14:paraId="359CB09C" w14:textId="77777777" w:rsidR="00F165D2" w:rsidRPr="00F165D2" w:rsidRDefault="00F165D2" w:rsidP="009A2E09">
      <w:pPr>
        <w:rPr>
          <w:szCs w:val="21"/>
        </w:rPr>
      </w:pPr>
      <w:r>
        <w:rPr>
          <w:rFonts w:hint="eastAsia"/>
          <w:szCs w:val="21"/>
        </w:rPr>
        <w:t>Ⅰ</w:t>
      </w:r>
      <w:r w:rsidR="006B6AE3">
        <w:rPr>
          <w:rFonts w:hint="eastAsia"/>
          <w:szCs w:val="21"/>
        </w:rPr>
        <w:t>．</w:t>
      </w:r>
      <w:r>
        <w:rPr>
          <w:rFonts w:hint="eastAsia"/>
          <w:szCs w:val="21"/>
        </w:rPr>
        <w:t>殺虫剤散布量が減る</w:t>
      </w:r>
    </w:p>
    <w:p w14:paraId="573029E9" w14:textId="77777777" w:rsidR="00C35580" w:rsidRDefault="00287B14" w:rsidP="009A2E09">
      <w:r>
        <w:rPr>
          <w:rFonts w:hint="eastAsia"/>
          <w:szCs w:val="21"/>
        </w:rPr>
        <w:t xml:space="preserve">　</w:t>
      </w:r>
      <w:r w:rsidR="00C35580">
        <w:rPr>
          <w:rFonts w:hint="eastAsia"/>
          <w:szCs w:val="21"/>
        </w:rPr>
        <w:t>作物</w:t>
      </w:r>
      <w:r>
        <w:rPr>
          <w:rFonts w:hint="eastAsia"/>
          <w:szCs w:val="21"/>
        </w:rPr>
        <w:t>に害虫を殺す</w:t>
      </w:r>
      <w:r w:rsidRPr="00CE0B02">
        <w:rPr>
          <w:rFonts w:hint="eastAsia"/>
        </w:rPr>
        <w:t>殺虫タンパク質（</w:t>
      </w:r>
      <w:r w:rsidRPr="00CE0B02">
        <w:rPr>
          <w:rFonts w:hint="eastAsia"/>
        </w:rPr>
        <w:t>Bt</w:t>
      </w:r>
      <w:r w:rsidRPr="00CE0B02">
        <w:rPr>
          <w:rFonts w:hint="eastAsia"/>
        </w:rPr>
        <w:t>タンパク質）</w:t>
      </w:r>
      <w:r>
        <w:rPr>
          <w:rFonts w:hint="eastAsia"/>
        </w:rPr>
        <w:t>があるため害虫の食害や殺虫剤の使用量を減らすことができる。またトウモロコシの天敵とも言える害虫であるアワノメイガは茎や穂の内部に入り込むため殺虫剤が利きにくいが害虫抵抗作物の場合は被害を</w:t>
      </w:r>
      <w:r w:rsidR="00F165D2">
        <w:rPr>
          <w:rFonts w:hint="eastAsia"/>
        </w:rPr>
        <w:t>軽度に</w:t>
      </w:r>
      <w:r>
        <w:rPr>
          <w:rFonts w:hint="eastAsia"/>
        </w:rPr>
        <w:t>抑えることができる。</w:t>
      </w:r>
    </w:p>
    <w:p w14:paraId="6DC4B64B" w14:textId="77777777" w:rsidR="00287B14" w:rsidRDefault="00287B14" w:rsidP="009A2E09"/>
    <w:p w14:paraId="2E92559B" w14:textId="77777777" w:rsidR="00436546" w:rsidRPr="00F165D2" w:rsidRDefault="00F165D2" w:rsidP="00F165D2">
      <w:pPr>
        <w:rPr>
          <w:szCs w:val="21"/>
        </w:rPr>
      </w:pPr>
      <w:r>
        <w:rPr>
          <w:rFonts w:hint="eastAsia"/>
          <w:szCs w:val="21"/>
        </w:rPr>
        <w:t>Ⅱ</w:t>
      </w:r>
      <w:r w:rsidR="006B6AE3">
        <w:rPr>
          <w:rFonts w:hint="eastAsia"/>
          <w:szCs w:val="21"/>
        </w:rPr>
        <w:t>．トウモロコシの</w:t>
      </w:r>
      <w:r w:rsidR="00287B14">
        <w:rPr>
          <w:rFonts w:hint="eastAsia"/>
          <w:szCs w:val="21"/>
        </w:rPr>
        <w:t>高密度栽培が可能になる</w:t>
      </w:r>
    </w:p>
    <w:p w14:paraId="3EEAE69D" w14:textId="77777777" w:rsidR="00436546" w:rsidRPr="00172518" w:rsidRDefault="00436546" w:rsidP="009A2E09">
      <w:r>
        <w:rPr>
          <w:rFonts w:hint="eastAsia"/>
        </w:rPr>
        <w:t xml:space="preserve">　トウモロコシの場合、従来は高密度で栽培すると茎が倒れやすくなってしまった。しかし害虫抵抗作の</w:t>
      </w:r>
      <w:r>
        <w:rPr>
          <w:rFonts w:hint="eastAsia"/>
        </w:rPr>
        <w:t>BT</w:t>
      </w:r>
      <w:r>
        <w:rPr>
          <w:rFonts w:hint="eastAsia"/>
        </w:rPr>
        <w:t>トウモロコシの場合は害虫であるアワノメイガ幼虫の被害をほとんど受けない。そのため</w:t>
      </w:r>
      <w:r>
        <w:t>ウィスコンシン州では、</w:t>
      </w:r>
      <w:r>
        <w:rPr>
          <w:rFonts w:hint="eastAsia"/>
        </w:rPr>
        <w:t>従来は</w:t>
      </w:r>
      <w:r>
        <w:t>１ヘクタールあたり７万４千株の栽培密度が推奨されていたが、Ｂｔトウモロコシでは１０万５千株の高密度栽培でも高い収穫量を得ることができた</w:t>
      </w:r>
      <w:r>
        <w:rPr>
          <w:rFonts w:hint="eastAsia"/>
        </w:rPr>
        <w:t>としている。</w:t>
      </w:r>
      <w:r>
        <w:rPr>
          <w:rStyle w:val="a9"/>
        </w:rPr>
        <w:footnoteReference w:id="9"/>
      </w:r>
    </w:p>
    <w:p w14:paraId="549DDD91" w14:textId="77777777" w:rsidR="00947A38" w:rsidRDefault="00947A38" w:rsidP="009A2E09">
      <w:pPr>
        <w:rPr>
          <w:rFonts w:asciiTheme="minorEastAsia" w:hAnsiTheme="minorEastAsia"/>
          <w:szCs w:val="21"/>
        </w:rPr>
      </w:pPr>
    </w:p>
    <w:p w14:paraId="1B624C95" w14:textId="6F680C08" w:rsidR="00254CF1" w:rsidRDefault="00254CF1" w:rsidP="009A2E09">
      <w:pPr>
        <w:rPr>
          <w:rFonts w:asciiTheme="minorEastAsia" w:hAnsiTheme="minorEastAsia"/>
          <w:szCs w:val="21"/>
        </w:rPr>
      </w:pPr>
      <w:r>
        <w:rPr>
          <w:rFonts w:asciiTheme="minorEastAsia" w:hAnsiTheme="minorEastAsia" w:hint="eastAsia"/>
          <w:szCs w:val="21"/>
        </w:rPr>
        <w:t>５．コスト削減</w:t>
      </w:r>
    </w:p>
    <w:p w14:paraId="45849782" w14:textId="77777777" w:rsidR="00254CF1" w:rsidRPr="00D755FE" w:rsidRDefault="00254CF1" w:rsidP="00254CF1">
      <w:pPr>
        <w:autoSpaceDE w:val="0"/>
        <w:autoSpaceDN w:val="0"/>
        <w:adjustRightInd w:val="0"/>
        <w:jc w:val="left"/>
      </w:pPr>
      <w:r>
        <w:rPr>
          <w:rFonts w:hint="eastAsia"/>
        </w:rPr>
        <w:t>遺伝子組換え作物の成果は</w:t>
      </w:r>
      <w:r>
        <w:rPr>
          <w:rFonts w:hint="eastAsia"/>
          <w:szCs w:val="21"/>
        </w:rPr>
        <w:t>ISAAA</w:t>
      </w:r>
      <w:r>
        <w:rPr>
          <w:rFonts w:hint="eastAsia"/>
          <w:szCs w:val="21"/>
        </w:rPr>
        <w:t>によると</w:t>
      </w:r>
      <w:r w:rsidRPr="00436546">
        <w:rPr>
          <w:rFonts w:asciiTheme="minorEastAsia" w:hAnsiTheme="minorEastAsia" w:hint="eastAsia"/>
          <w:szCs w:val="21"/>
        </w:rPr>
        <w:t>「</w:t>
      </w:r>
      <w:r w:rsidRPr="00436546">
        <w:rPr>
          <w:rFonts w:asciiTheme="minorEastAsia" w:hAnsiTheme="minorEastAsia" w:cs="Arial"/>
          <w:color w:val="333333"/>
          <w:kern w:val="0"/>
          <w:szCs w:val="21"/>
        </w:rPr>
        <w:t xml:space="preserve">1996 </w:t>
      </w:r>
      <w:r w:rsidRPr="00436546">
        <w:rPr>
          <w:rFonts w:asciiTheme="minorEastAsia" w:hAnsiTheme="minorEastAsia" w:cs="MS-Gothic" w:hint="eastAsia"/>
          <w:color w:val="333333"/>
          <w:kern w:val="0"/>
          <w:szCs w:val="21"/>
        </w:rPr>
        <w:t>年から</w:t>
      </w:r>
      <w:r w:rsidRPr="00436546">
        <w:rPr>
          <w:rFonts w:asciiTheme="minorEastAsia" w:hAnsiTheme="minorEastAsia" w:cs="Arial"/>
          <w:color w:val="333333"/>
          <w:kern w:val="0"/>
          <w:szCs w:val="21"/>
        </w:rPr>
        <w:t xml:space="preserve">2010 </w:t>
      </w:r>
      <w:r w:rsidRPr="00436546">
        <w:rPr>
          <w:rFonts w:asciiTheme="minorEastAsia" w:hAnsiTheme="minorEastAsia" w:cs="MS-Gothic" w:hint="eastAsia"/>
          <w:color w:val="333333"/>
          <w:kern w:val="0"/>
          <w:szCs w:val="21"/>
        </w:rPr>
        <w:t>年まで</w:t>
      </w:r>
      <w:r w:rsidRPr="00436546">
        <w:rPr>
          <w:rFonts w:asciiTheme="minorEastAsia" w:hAnsiTheme="minorEastAsia" w:cs="Arial"/>
          <w:color w:val="333333"/>
          <w:kern w:val="0"/>
          <w:szCs w:val="21"/>
        </w:rPr>
        <w:t xml:space="preserve">15 </w:t>
      </w:r>
      <w:r w:rsidRPr="00436546">
        <w:rPr>
          <w:rFonts w:asciiTheme="minorEastAsia" w:hAnsiTheme="minorEastAsia" w:cs="MS-Gothic" w:hint="eastAsia"/>
          <w:color w:val="333333"/>
          <w:kern w:val="0"/>
          <w:szCs w:val="21"/>
        </w:rPr>
        <w:t>年間に遺伝子組み換え作物によって全世界で</w:t>
      </w:r>
      <w:r w:rsidRPr="00436546">
        <w:rPr>
          <w:rFonts w:asciiTheme="minorEastAsia" w:hAnsiTheme="minorEastAsia" w:cs="Arial"/>
          <w:color w:val="333333"/>
          <w:kern w:val="0"/>
          <w:szCs w:val="21"/>
        </w:rPr>
        <w:t xml:space="preserve">780 </w:t>
      </w:r>
      <w:r w:rsidRPr="00436546">
        <w:rPr>
          <w:rFonts w:asciiTheme="minorEastAsia" w:hAnsiTheme="minorEastAsia" w:cs="MS-Gothic" w:hint="eastAsia"/>
          <w:color w:val="333333"/>
          <w:kern w:val="0"/>
          <w:szCs w:val="21"/>
        </w:rPr>
        <w:t>億米ドルの農業生産者レベルでの経済的利益があがった。そのうち</w:t>
      </w:r>
      <w:r w:rsidRPr="00436546">
        <w:rPr>
          <w:rFonts w:asciiTheme="minorEastAsia" w:hAnsiTheme="minorEastAsia" w:cs="Arial"/>
          <w:color w:val="333333"/>
          <w:kern w:val="0"/>
          <w:szCs w:val="21"/>
        </w:rPr>
        <w:t>40</w:t>
      </w:r>
      <w:r w:rsidRPr="00436546">
        <w:rPr>
          <w:rFonts w:asciiTheme="minorEastAsia" w:hAnsiTheme="minorEastAsia" w:cs="MS-Gothic" w:hint="eastAsia"/>
          <w:color w:val="333333"/>
          <w:kern w:val="0"/>
          <w:szCs w:val="21"/>
        </w:rPr>
        <w:t>％は生産コスト削減（少ない耕起、少ない農薬散布、少ない労働時間）によるもので、</w:t>
      </w:r>
      <w:r w:rsidRPr="00436546">
        <w:rPr>
          <w:rFonts w:asciiTheme="minorEastAsia" w:hAnsiTheme="minorEastAsia" w:cs="Arial"/>
          <w:color w:val="333333"/>
          <w:kern w:val="0"/>
          <w:szCs w:val="21"/>
        </w:rPr>
        <w:t>60</w:t>
      </w:r>
      <w:r w:rsidRPr="00436546">
        <w:rPr>
          <w:rFonts w:asciiTheme="minorEastAsia" w:hAnsiTheme="minorEastAsia" w:cs="MS-Gothic" w:hint="eastAsia"/>
          <w:color w:val="333333"/>
          <w:kern w:val="0"/>
          <w:szCs w:val="21"/>
        </w:rPr>
        <w:t>％は</w:t>
      </w:r>
      <w:r w:rsidRPr="00436546">
        <w:rPr>
          <w:rFonts w:asciiTheme="minorEastAsia" w:hAnsiTheme="minorEastAsia" w:cs="Arial"/>
          <w:color w:val="333333"/>
          <w:kern w:val="0"/>
          <w:szCs w:val="21"/>
        </w:rPr>
        <w:t>2</w:t>
      </w:r>
      <w:r w:rsidRPr="00436546">
        <w:rPr>
          <w:rFonts w:asciiTheme="minorEastAsia" w:hAnsiTheme="minorEastAsia" w:cs="MS-UIGothic" w:hint="eastAsia"/>
          <w:color w:val="333333"/>
          <w:kern w:val="0"/>
          <w:szCs w:val="21"/>
        </w:rPr>
        <w:t>億</w:t>
      </w:r>
      <w:r w:rsidRPr="00436546">
        <w:rPr>
          <w:rFonts w:asciiTheme="minorEastAsia" w:hAnsiTheme="minorEastAsia" w:cs="Arial"/>
          <w:color w:val="333333"/>
          <w:kern w:val="0"/>
          <w:szCs w:val="21"/>
        </w:rPr>
        <w:t>7600</w:t>
      </w:r>
      <w:r w:rsidRPr="00436546">
        <w:rPr>
          <w:rFonts w:asciiTheme="minorEastAsia" w:hAnsiTheme="minorEastAsia" w:cs="MS-UIGothic" w:hint="eastAsia"/>
          <w:color w:val="333333"/>
          <w:kern w:val="0"/>
          <w:szCs w:val="21"/>
        </w:rPr>
        <w:t>万</w:t>
      </w:r>
      <w:r w:rsidRPr="00436546">
        <w:rPr>
          <w:rFonts w:asciiTheme="minorEastAsia" w:hAnsiTheme="minorEastAsia" w:cs="MS-Gothic" w:hint="eastAsia"/>
          <w:color w:val="333333"/>
          <w:kern w:val="0"/>
          <w:szCs w:val="21"/>
        </w:rPr>
        <w:t>トンの大幅な収量向上によるものである。</w:t>
      </w:r>
      <w:r w:rsidRPr="00436546">
        <w:rPr>
          <w:rFonts w:asciiTheme="minorEastAsia" w:hAnsiTheme="minorEastAsia" w:cs="MS-Gothic"/>
          <w:color w:val="333333"/>
          <w:kern w:val="0"/>
          <w:szCs w:val="21"/>
        </w:rPr>
        <w:t xml:space="preserve"> </w:t>
      </w:r>
      <w:r w:rsidRPr="00436546">
        <w:rPr>
          <w:rFonts w:asciiTheme="minorEastAsia" w:hAnsiTheme="minorEastAsia" w:cs="Arial"/>
          <w:color w:val="333333"/>
          <w:kern w:val="0"/>
          <w:szCs w:val="21"/>
        </w:rPr>
        <w:t xml:space="preserve">2010 </w:t>
      </w:r>
      <w:r w:rsidRPr="00436546">
        <w:rPr>
          <w:rFonts w:asciiTheme="minorEastAsia" w:hAnsiTheme="minorEastAsia" w:cs="MS-Gothic" w:hint="eastAsia"/>
          <w:color w:val="333333"/>
          <w:kern w:val="0"/>
          <w:szCs w:val="21"/>
        </w:rPr>
        <w:t>年だけでは、</w:t>
      </w:r>
      <w:r w:rsidRPr="00436546">
        <w:rPr>
          <w:rFonts w:asciiTheme="minorEastAsia" w:hAnsiTheme="minorEastAsia" w:cs="MS-Gothic"/>
          <w:color w:val="333333"/>
          <w:kern w:val="0"/>
          <w:szCs w:val="21"/>
        </w:rPr>
        <w:t>76</w:t>
      </w:r>
      <w:r w:rsidRPr="00436546">
        <w:rPr>
          <w:rFonts w:asciiTheme="minorEastAsia" w:hAnsiTheme="minorEastAsia" w:cs="MS-Gothic" w:hint="eastAsia"/>
          <w:color w:val="333333"/>
          <w:kern w:val="0"/>
          <w:szCs w:val="21"/>
        </w:rPr>
        <w:t>％は、増加した収率（</w:t>
      </w:r>
      <w:r w:rsidRPr="00436546">
        <w:rPr>
          <w:rFonts w:asciiTheme="minorEastAsia" w:hAnsiTheme="minorEastAsia" w:cs="Arial"/>
          <w:color w:val="333333"/>
          <w:kern w:val="0"/>
          <w:szCs w:val="21"/>
        </w:rPr>
        <w:t xml:space="preserve">44.1 </w:t>
      </w:r>
      <w:r w:rsidRPr="00436546">
        <w:rPr>
          <w:rFonts w:asciiTheme="minorEastAsia" w:hAnsiTheme="minorEastAsia" w:cs="MS-Gothic" w:hint="eastAsia"/>
          <w:color w:val="333333"/>
          <w:kern w:val="0"/>
          <w:szCs w:val="21"/>
        </w:rPr>
        <w:t>万トンに相当）によるもので、</w:t>
      </w:r>
      <w:r w:rsidRPr="00436546">
        <w:rPr>
          <w:rFonts w:asciiTheme="minorEastAsia" w:hAnsiTheme="minorEastAsia" w:cs="MS-Gothic"/>
          <w:color w:val="333333"/>
          <w:kern w:val="0"/>
          <w:szCs w:val="21"/>
        </w:rPr>
        <w:t>24</w:t>
      </w:r>
      <w:r w:rsidRPr="00436546">
        <w:rPr>
          <w:rFonts w:asciiTheme="minorEastAsia" w:hAnsiTheme="minorEastAsia" w:cs="MS-Gothic" w:hint="eastAsia"/>
          <w:color w:val="333333"/>
          <w:kern w:val="0"/>
          <w:szCs w:val="21"/>
        </w:rPr>
        <w:t>％は、生産コストの削減によるものであった。</w:t>
      </w:r>
      <w:r w:rsidRPr="00436546">
        <w:rPr>
          <w:rFonts w:asciiTheme="minorEastAsia" w:hAnsiTheme="minorEastAsia" w:cs="Times New Roman" w:hint="eastAsia"/>
          <w:color w:val="000000"/>
          <w:kern w:val="0"/>
          <w:szCs w:val="21"/>
        </w:rPr>
        <w:t>」</w:t>
      </w:r>
      <w:r w:rsidRPr="00436546">
        <w:rPr>
          <w:rStyle w:val="a9"/>
          <w:rFonts w:asciiTheme="minorEastAsia" w:hAnsiTheme="minorEastAsia" w:cs="Times New Roman"/>
          <w:color w:val="000000"/>
          <w:kern w:val="0"/>
          <w:szCs w:val="21"/>
        </w:rPr>
        <w:footnoteReference w:id="10"/>
      </w:r>
      <w:r w:rsidRPr="00436546">
        <w:rPr>
          <w:rFonts w:asciiTheme="minorEastAsia" w:hAnsiTheme="minorEastAsia" w:cs="Times New Roman" w:hint="eastAsia"/>
          <w:color w:val="000000"/>
          <w:kern w:val="0"/>
          <w:szCs w:val="21"/>
        </w:rPr>
        <w:t>としている。</w:t>
      </w:r>
    </w:p>
    <w:p w14:paraId="05A27C3B" w14:textId="77777777" w:rsidR="00254CF1" w:rsidRDefault="00254CF1" w:rsidP="009A2E09">
      <w:pPr>
        <w:rPr>
          <w:rFonts w:asciiTheme="minorEastAsia" w:hAnsiTheme="minorEastAsia"/>
          <w:szCs w:val="21"/>
        </w:rPr>
      </w:pPr>
    </w:p>
    <w:p w14:paraId="4749D6EC" w14:textId="25BB8091" w:rsidR="00804539" w:rsidRDefault="00254CF1" w:rsidP="009A2E09">
      <w:pPr>
        <w:rPr>
          <w:rFonts w:asciiTheme="minorEastAsia" w:hAnsiTheme="minorEastAsia"/>
          <w:szCs w:val="21"/>
        </w:rPr>
      </w:pPr>
      <w:r>
        <w:rPr>
          <w:rFonts w:asciiTheme="minorEastAsia" w:hAnsiTheme="minorEastAsia" w:hint="eastAsia"/>
          <w:szCs w:val="21"/>
        </w:rPr>
        <w:t xml:space="preserve">第三章　</w:t>
      </w:r>
      <w:r w:rsidR="00436546">
        <w:rPr>
          <w:rFonts w:asciiTheme="minorEastAsia" w:hAnsiTheme="minorEastAsia" w:hint="eastAsia"/>
          <w:szCs w:val="21"/>
        </w:rPr>
        <w:t>GM技術の問題点</w:t>
      </w:r>
    </w:p>
    <w:p w14:paraId="76C6EE01" w14:textId="77777777" w:rsidR="005C2C3E" w:rsidRDefault="00436546" w:rsidP="005A3BD8">
      <w:r>
        <w:rPr>
          <w:rFonts w:asciiTheme="minorEastAsia" w:hAnsiTheme="minorEastAsia" w:hint="eastAsia"/>
          <w:szCs w:val="21"/>
        </w:rPr>
        <w:t xml:space="preserve">　</w:t>
      </w:r>
      <w:r w:rsidR="001C0EDA">
        <w:rPr>
          <w:rFonts w:hint="eastAsia"/>
        </w:rPr>
        <w:t>前章で述べたとおり遺伝子組換え作物は既に</w:t>
      </w:r>
      <w:r w:rsidR="001C0EDA">
        <w:rPr>
          <w:rFonts w:hint="eastAsia"/>
        </w:rPr>
        <w:t>28</w:t>
      </w:r>
      <w:r w:rsidR="001C0EDA">
        <w:rPr>
          <w:rFonts w:hint="eastAsia"/>
        </w:rPr>
        <w:t>カ国</w:t>
      </w:r>
      <w:r w:rsidR="00172518">
        <w:rPr>
          <w:rFonts w:hint="eastAsia"/>
        </w:rPr>
        <w:t>で栽培され、一定の成果を上げてきた</w:t>
      </w:r>
      <w:r w:rsidR="00586720">
        <w:rPr>
          <w:rFonts w:hint="eastAsia"/>
        </w:rPr>
        <w:t>。しかしその導入</w:t>
      </w:r>
      <w:r w:rsidR="005C2C3E">
        <w:rPr>
          <w:rFonts w:hint="eastAsia"/>
        </w:rPr>
        <w:t>に対して否定的な国も存在する</w:t>
      </w:r>
      <w:r w:rsidR="009D1745">
        <w:rPr>
          <w:rFonts w:hint="eastAsia"/>
        </w:rPr>
        <w:t>。</w:t>
      </w:r>
    </w:p>
    <w:p w14:paraId="48A58723" w14:textId="77777777" w:rsidR="005A3BD8" w:rsidRDefault="005C2C3E" w:rsidP="005A3BD8">
      <w:r>
        <w:rPr>
          <w:rFonts w:hint="eastAsia"/>
        </w:rPr>
        <w:t xml:space="preserve">　</w:t>
      </w:r>
      <w:r>
        <w:rPr>
          <w:rFonts w:hint="eastAsia"/>
        </w:rPr>
        <w:t>E</w:t>
      </w:r>
      <w:r w:rsidR="009D1745">
        <w:rPr>
          <w:rFonts w:hint="eastAsia"/>
        </w:rPr>
        <w:t>U</w:t>
      </w:r>
      <w:r>
        <w:rPr>
          <w:rFonts w:hint="eastAsia"/>
        </w:rPr>
        <w:t>においては遺伝子組換え作物の栽培までの承認プロセスが正しく機能しておらず</w:t>
      </w:r>
      <w:r w:rsidR="009D1745">
        <w:rPr>
          <w:rFonts w:hint="eastAsia"/>
        </w:rPr>
        <w:t>栽培許可されている品種が</w:t>
      </w:r>
      <w:r w:rsidR="009D1745">
        <w:rPr>
          <w:rFonts w:hint="eastAsia"/>
        </w:rPr>
        <w:t>2</w:t>
      </w:r>
      <w:r w:rsidR="009D1745">
        <w:rPr>
          <w:rFonts w:hint="eastAsia"/>
        </w:rPr>
        <w:t>種類しかない。また、遺伝子組換え作物の輸入承認にかかる平均時間</w:t>
      </w:r>
      <w:r>
        <w:rPr>
          <w:rFonts w:hint="eastAsia"/>
        </w:rPr>
        <w:t>が米国が</w:t>
      </w:r>
      <w:r>
        <w:rPr>
          <w:rFonts w:hint="eastAsia"/>
        </w:rPr>
        <w:t>2</w:t>
      </w:r>
      <w:r>
        <w:rPr>
          <w:rFonts w:hint="eastAsia"/>
        </w:rPr>
        <w:t>年、カナダが</w:t>
      </w:r>
      <w:r>
        <w:rPr>
          <w:rFonts w:hint="eastAsia"/>
        </w:rPr>
        <w:t>2.5</w:t>
      </w:r>
      <w:r>
        <w:rPr>
          <w:rFonts w:hint="eastAsia"/>
        </w:rPr>
        <w:t>年に対し、</w:t>
      </w:r>
      <w:r>
        <w:rPr>
          <w:rFonts w:hint="eastAsia"/>
        </w:rPr>
        <w:t>EU</w:t>
      </w:r>
      <w:r>
        <w:rPr>
          <w:rFonts w:hint="eastAsia"/>
        </w:rPr>
        <w:t>では</w:t>
      </w:r>
      <w:r>
        <w:rPr>
          <w:rFonts w:hint="eastAsia"/>
        </w:rPr>
        <w:t>4</w:t>
      </w:r>
      <w:r>
        <w:rPr>
          <w:rFonts w:hint="eastAsia"/>
        </w:rPr>
        <w:t>年近くかかることから貿易障害となっている。</w:t>
      </w:r>
      <w:r w:rsidR="00DB04E6">
        <w:rPr>
          <w:rStyle w:val="a9"/>
        </w:rPr>
        <w:footnoteReference w:id="11"/>
      </w:r>
    </w:p>
    <w:p w14:paraId="113E1D6A" w14:textId="77777777" w:rsidR="005A3BD8" w:rsidRDefault="005C2C3E" w:rsidP="009A2E09">
      <w:r>
        <w:rPr>
          <w:rFonts w:hint="eastAsia"/>
        </w:rPr>
        <w:t xml:space="preserve">　日本では</w:t>
      </w:r>
      <w:r w:rsidR="00DB04E6">
        <w:rPr>
          <w:rFonts w:hint="eastAsia"/>
        </w:rPr>
        <w:t>90</w:t>
      </w:r>
      <w:r w:rsidR="00DB04E6">
        <w:rPr>
          <w:rFonts w:hint="eastAsia"/>
        </w:rPr>
        <w:t>種類以上の</w:t>
      </w:r>
      <w:r w:rsidR="005E0FE4">
        <w:rPr>
          <w:rFonts w:hint="eastAsia"/>
        </w:rPr>
        <w:t>遺伝子組換え作物</w:t>
      </w:r>
      <w:r w:rsidR="00DB04E6">
        <w:rPr>
          <w:rFonts w:hint="eastAsia"/>
        </w:rPr>
        <w:t>の栽培が許可されており（</w:t>
      </w:r>
      <w:hyperlink r:id="rId12" w:history="1">
        <w:r w:rsidR="00DB04E6" w:rsidRPr="00DB04E6">
          <w:rPr>
            <w:rStyle w:val="aa"/>
            <w:color w:val="auto"/>
            <w:u w:val="none"/>
          </w:rPr>
          <w:t>平成</w:t>
        </w:r>
        <w:r w:rsidR="00DB04E6" w:rsidRPr="00DB04E6">
          <w:rPr>
            <w:rStyle w:val="aa"/>
            <w:color w:val="auto"/>
            <w:u w:val="none"/>
          </w:rPr>
          <w:t>25</w:t>
        </w:r>
        <w:r w:rsidR="00DB04E6" w:rsidRPr="00DB04E6">
          <w:rPr>
            <w:rStyle w:val="aa"/>
            <w:color w:val="auto"/>
            <w:u w:val="none"/>
          </w:rPr>
          <w:t>年</w:t>
        </w:r>
        <w:r w:rsidR="00DB04E6" w:rsidRPr="00DB04E6">
          <w:rPr>
            <w:rStyle w:val="aa"/>
            <w:color w:val="auto"/>
            <w:u w:val="none"/>
          </w:rPr>
          <w:t>10</w:t>
        </w:r>
        <w:r w:rsidR="00DB04E6" w:rsidRPr="00DB04E6">
          <w:rPr>
            <w:rStyle w:val="aa"/>
            <w:color w:val="auto"/>
            <w:u w:val="none"/>
          </w:rPr>
          <w:t>月</w:t>
        </w:r>
        <w:r w:rsidR="00DB04E6" w:rsidRPr="00DB04E6">
          <w:rPr>
            <w:rStyle w:val="aa"/>
            <w:color w:val="auto"/>
            <w:u w:val="none"/>
          </w:rPr>
          <w:t>31</w:t>
        </w:r>
        <w:r w:rsidR="00DB04E6" w:rsidRPr="00DB04E6">
          <w:rPr>
            <w:rStyle w:val="aa"/>
            <w:color w:val="auto"/>
            <w:u w:val="none"/>
          </w:rPr>
          <w:t>日現在</w:t>
        </w:r>
      </w:hyperlink>
      <w:r w:rsidR="00DB04E6">
        <w:rPr>
          <w:rFonts w:hint="eastAsia"/>
        </w:rPr>
        <w:t>）</w:t>
      </w:r>
      <w:r w:rsidR="00D41F93">
        <w:rPr>
          <w:rStyle w:val="a9"/>
        </w:rPr>
        <w:footnoteReference w:id="12"/>
      </w:r>
      <w:r w:rsidR="00DB04E6">
        <w:rPr>
          <w:rFonts w:hint="eastAsia"/>
        </w:rPr>
        <w:t>実質的な栽培のための基盤は整っている。しかし消費者の反対が根強いことからほとんど</w:t>
      </w:r>
      <w:r w:rsidR="00E02239">
        <w:rPr>
          <w:rFonts w:hint="eastAsia"/>
        </w:rPr>
        <w:t>の</w:t>
      </w:r>
      <w:r w:rsidR="00DB04E6">
        <w:rPr>
          <w:rFonts w:hint="eastAsia"/>
        </w:rPr>
        <w:t>商業栽培が行われていない。</w:t>
      </w:r>
    </w:p>
    <w:p w14:paraId="16FB1ADE" w14:textId="77777777" w:rsidR="00DB04E6" w:rsidRDefault="00D41F93" w:rsidP="009A2E09">
      <w:r>
        <w:rPr>
          <w:rFonts w:hint="eastAsia"/>
        </w:rPr>
        <w:t xml:space="preserve">　世界一の遺伝子組換え作物大国である米国においても環境団体などからの反対意見は根強い。このような反対意見は遺伝子組み換え作物の栽培や輸出入に制限をもたらし結果としてマーケットの縮小</w:t>
      </w:r>
      <w:r w:rsidR="00E02239">
        <w:rPr>
          <w:rFonts w:hint="eastAsia"/>
        </w:rPr>
        <w:t>や</w:t>
      </w:r>
      <w:r w:rsidR="00215687">
        <w:rPr>
          <w:rFonts w:hint="eastAsia"/>
        </w:rPr>
        <w:t>遺伝子組み換え作物</w:t>
      </w:r>
      <w:r>
        <w:rPr>
          <w:rFonts w:hint="eastAsia"/>
        </w:rPr>
        <w:t>普及の妨げとなっている。</w:t>
      </w:r>
    </w:p>
    <w:p w14:paraId="3A426255" w14:textId="77777777" w:rsidR="00C90CE6" w:rsidRPr="001C0EDA" w:rsidRDefault="00D41F93" w:rsidP="009A2E09">
      <w:r>
        <w:rPr>
          <w:rFonts w:hint="eastAsia"/>
        </w:rPr>
        <w:t xml:space="preserve">　</w:t>
      </w:r>
      <w:r w:rsidR="00E02239">
        <w:rPr>
          <w:rFonts w:hint="eastAsia"/>
        </w:rPr>
        <w:t>EU</w:t>
      </w:r>
      <w:r w:rsidR="00E02239">
        <w:rPr>
          <w:rFonts w:hint="eastAsia"/>
        </w:rPr>
        <w:t>や日本、そして米国において</w:t>
      </w:r>
      <w:r w:rsidR="001C0EDA">
        <w:rPr>
          <w:rFonts w:hint="eastAsia"/>
        </w:rPr>
        <w:t>遺伝子組換え作物導入の</w:t>
      </w:r>
      <w:r w:rsidR="00C90CE6">
        <w:rPr>
          <w:rFonts w:asciiTheme="minorEastAsia" w:hAnsiTheme="minorEastAsia" w:hint="eastAsia"/>
          <w:szCs w:val="21"/>
        </w:rPr>
        <w:t>問題点として挙げられているものは</w:t>
      </w:r>
      <w:r>
        <w:rPr>
          <w:rFonts w:asciiTheme="minorEastAsia" w:hAnsiTheme="minorEastAsia" w:hint="eastAsia"/>
          <w:szCs w:val="21"/>
        </w:rPr>
        <w:t>以下の3点、環境問題、グローバリゼーション、</w:t>
      </w:r>
      <w:r w:rsidR="00C90CE6">
        <w:rPr>
          <w:rFonts w:asciiTheme="minorEastAsia" w:hAnsiTheme="minorEastAsia" w:hint="eastAsia"/>
          <w:szCs w:val="21"/>
        </w:rPr>
        <w:t>消費者の不安である。</w:t>
      </w:r>
    </w:p>
    <w:p w14:paraId="1FC32CC0" w14:textId="77777777" w:rsidR="006B6AE3" w:rsidRDefault="006B6AE3" w:rsidP="009A2E09">
      <w:pPr>
        <w:rPr>
          <w:rFonts w:asciiTheme="minorEastAsia" w:hAnsiTheme="minorEastAsia"/>
          <w:szCs w:val="21"/>
        </w:rPr>
      </w:pPr>
    </w:p>
    <w:p w14:paraId="1D987B5F" w14:textId="77777777" w:rsidR="00C90CE6" w:rsidRPr="00436546" w:rsidRDefault="006B6AE3" w:rsidP="009A2E09">
      <w:pPr>
        <w:rPr>
          <w:rFonts w:asciiTheme="minorEastAsia" w:hAnsiTheme="minorEastAsia"/>
          <w:szCs w:val="21"/>
        </w:rPr>
      </w:pPr>
      <w:r>
        <w:rPr>
          <w:rFonts w:asciiTheme="minorEastAsia" w:hAnsiTheme="minorEastAsia" w:hint="eastAsia"/>
          <w:szCs w:val="21"/>
        </w:rPr>
        <w:t>１、</w:t>
      </w:r>
      <w:r w:rsidR="00C90CE6">
        <w:rPr>
          <w:rFonts w:asciiTheme="minorEastAsia" w:hAnsiTheme="minorEastAsia" w:hint="eastAsia"/>
          <w:szCs w:val="21"/>
        </w:rPr>
        <w:t>環境問題</w:t>
      </w:r>
    </w:p>
    <w:p w14:paraId="7DC1B922" w14:textId="77777777" w:rsidR="006B6AE3" w:rsidRDefault="006B6AE3" w:rsidP="006B6AE3">
      <w:pPr>
        <w:rPr>
          <w:rFonts w:asciiTheme="minorEastAsia" w:hAnsiTheme="minorEastAsia"/>
          <w:szCs w:val="21"/>
        </w:rPr>
      </w:pPr>
      <w:r>
        <w:rPr>
          <w:rFonts w:asciiTheme="minorEastAsia" w:hAnsiTheme="minorEastAsia" w:hint="eastAsia"/>
          <w:szCs w:val="21"/>
        </w:rPr>
        <w:t>Ⅰ．</w:t>
      </w:r>
      <w:r w:rsidR="00C90CE6">
        <w:rPr>
          <w:rFonts w:asciiTheme="minorEastAsia" w:hAnsiTheme="minorEastAsia" w:hint="eastAsia"/>
          <w:szCs w:val="21"/>
        </w:rPr>
        <w:t>標的外生物への影響</w:t>
      </w:r>
    </w:p>
    <w:p w14:paraId="0BE85473" w14:textId="77777777" w:rsidR="006B6AE3" w:rsidRDefault="006B6AE3" w:rsidP="006B6AE3">
      <w:r>
        <w:rPr>
          <w:rFonts w:asciiTheme="minorEastAsia" w:hAnsiTheme="minorEastAsia" w:hint="eastAsia"/>
          <w:szCs w:val="21"/>
        </w:rPr>
        <w:t xml:space="preserve">　</w:t>
      </w:r>
      <w:r w:rsidR="00BE15AF">
        <w:rPr>
          <w:rFonts w:asciiTheme="minorEastAsia" w:hAnsiTheme="minorEastAsia" w:hint="eastAsia"/>
          <w:szCs w:val="21"/>
        </w:rPr>
        <w:t>1999年にNature に</w:t>
      </w:r>
      <w:proofErr w:type="spellStart"/>
      <w:r w:rsidR="00BE15AF">
        <w:rPr>
          <w:rFonts w:asciiTheme="minorEastAsia" w:hAnsiTheme="minorEastAsia" w:hint="eastAsia"/>
          <w:szCs w:val="21"/>
        </w:rPr>
        <w:t>losey</w:t>
      </w:r>
      <w:proofErr w:type="spellEnd"/>
      <w:r w:rsidR="00BE15AF">
        <w:rPr>
          <w:rFonts w:asciiTheme="minorEastAsia" w:hAnsiTheme="minorEastAsia" w:hint="eastAsia"/>
          <w:szCs w:val="21"/>
        </w:rPr>
        <w:t xml:space="preserve">　et　alによって害虫抵抗性作物（Bt作物）が出す花粉が本来対象にしている害虫ではなく</w:t>
      </w:r>
      <w:r w:rsidR="00BE15AF">
        <w:rPr>
          <w:rFonts w:hint="eastAsia"/>
        </w:rPr>
        <w:t>オオカバマダラという蝶にも被害を与えると言う論文</w:t>
      </w:r>
      <w:r w:rsidR="00BE15AF">
        <w:rPr>
          <w:rStyle w:val="a9"/>
        </w:rPr>
        <w:footnoteReference w:id="13"/>
      </w:r>
      <w:r w:rsidR="00BE15AF">
        <w:rPr>
          <w:rFonts w:hint="eastAsia"/>
        </w:rPr>
        <w:t>が掲載された。これは</w:t>
      </w:r>
      <w:r w:rsidR="00BE15AF">
        <w:rPr>
          <w:rFonts w:hint="eastAsia"/>
        </w:rPr>
        <w:t>Bt</w:t>
      </w:r>
      <w:r w:rsidR="00BE15AF">
        <w:rPr>
          <w:rFonts w:hint="eastAsia"/>
        </w:rPr>
        <w:t>作物が本来の標的である害虫以外も殺し生態系に悪影響を与えるという内容であ</w:t>
      </w:r>
      <w:r w:rsidR="002B6243">
        <w:rPr>
          <w:rFonts w:hint="eastAsia"/>
        </w:rPr>
        <w:t>る。しかしその後の追跡調査ではこの論文の妥当性を疑う声が上がった。</w:t>
      </w:r>
      <w:r w:rsidR="00D17718">
        <w:rPr>
          <w:rFonts w:hint="eastAsia"/>
        </w:rPr>
        <w:t>白井洋一によれば「害虫抵抗性組換え作物（主に</w:t>
      </w:r>
      <w:r w:rsidR="00D17718">
        <w:rPr>
          <w:rFonts w:hint="eastAsia"/>
        </w:rPr>
        <w:t>Bt</w:t>
      </w:r>
      <w:r w:rsidR="00D17718">
        <w:rPr>
          <w:rFonts w:hint="eastAsia"/>
        </w:rPr>
        <w:t>作物）が非標的生物に及ぼす影響に関する学術論文数多く発表されている。ほとんどが「非標的生物や農耕地生態系に対して悪影響がなかった」とする論文である」</w:t>
      </w:r>
      <w:r w:rsidR="00D17718">
        <w:rPr>
          <w:rStyle w:val="a9"/>
        </w:rPr>
        <w:footnoteReference w:id="14"/>
      </w:r>
      <w:r w:rsidR="00D17718">
        <w:rPr>
          <w:rFonts w:hint="eastAsia"/>
        </w:rPr>
        <w:t>としている。</w:t>
      </w:r>
    </w:p>
    <w:p w14:paraId="6AFC866F" w14:textId="77777777" w:rsidR="006B6AE3" w:rsidRDefault="006B6AE3" w:rsidP="006B6AE3">
      <w:r>
        <w:rPr>
          <w:rFonts w:hint="eastAsia"/>
        </w:rPr>
        <w:t xml:space="preserve">　しかし、</w:t>
      </w:r>
      <w:r w:rsidR="00D17718">
        <w:rPr>
          <w:rFonts w:hint="eastAsia"/>
        </w:rPr>
        <w:t>遺伝子組換え作物</w:t>
      </w:r>
      <w:r>
        <w:rPr>
          <w:rFonts w:hint="eastAsia"/>
        </w:rPr>
        <w:t>の種類、形質ごとに環境、</w:t>
      </w:r>
      <w:r w:rsidR="00921A92">
        <w:rPr>
          <w:rFonts w:hint="eastAsia"/>
        </w:rPr>
        <w:t>生態系に与える影響は</w:t>
      </w:r>
      <w:r w:rsidR="00D17718">
        <w:rPr>
          <w:rFonts w:hint="eastAsia"/>
        </w:rPr>
        <w:t>異なるため今後も商業栽培前の環境への影響調査は不可欠である。</w:t>
      </w:r>
    </w:p>
    <w:p w14:paraId="74BE352D" w14:textId="77777777" w:rsidR="006B6AE3" w:rsidRDefault="006B6AE3" w:rsidP="006B6AE3"/>
    <w:p w14:paraId="400AEC12" w14:textId="77777777" w:rsidR="00215687" w:rsidRDefault="00215687" w:rsidP="006B6AE3"/>
    <w:p w14:paraId="7E0F3797" w14:textId="77777777" w:rsidR="00215687" w:rsidRDefault="00215687" w:rsidP="006B6AE3"/>
    <w:p w14:paraId="28D49FE2" w14:textId="77777777" w:rsidR="006B6AE3" w:rsidRDefault="006B6AE3" w:rsidP="006B6AE3">
      <w:pPr>
        <w:rPr>
          <w:rFonts w:asciiTheme="minorEastAsia" w:hAnsiTheme="minorEastAsia"/>
          <w:szCs w:val="21"/>
        </w:rPr>
      </w:pPr>
      <w:r>
        <w:rPr>
          <w:rFonts w:hint="eastAsia"/>
        </w:rPr>
        <w:t>Ⅱ．</w:t>
      </w:r>
      <w:r w:rsidR="00D17718">
        <w:rPr>
          <w:rFonts w:hint="eastAsia"/>
        </w:rPr>
        <w:t>スーパー雑草の出現</w:t>
      </w:r>
    </w:p>
    <w:p w14:paraId="000656AE" w14:textId="77777777" w:rsidR="006B6AE3" w:rsidRDefault="006B6AE3" w:rsidP="006B6AE3">
      <w:pPr>
        <w:rPr>
          <w:rFonts w:asciiTheme="minorEastAsia" w:hAnsiTheme="minorEastAsia"/>
          <w:szCs w:val="21"/>
        </w:rPr>
      </w:pPr>
      <w:r>
        <w:rPr>
          <w:rFonts w:asciiTheme="minorEastAsia" w:hAnsiTheme="minorEastAsia" w:hint="eastAsia"/>
          <w:szCs w:val="21"/>
        </w:rPr>
        <w:t xml:space="preserve">　</w:t>
      </w:r>
      <w:r w:rsidR="00D17718">
        <w:rPr>
          <w:rFonts w:hint="eastAsia"/>
          <w:szCs w:val="21"/>
        </w:rPr>
        <w:t>非選択性除草剤は除草剤耐性作物栽培の際の必需品といえるがその代表的な商品であるモンサントのラウンドアップに耐性を持った「スーパー雑草」が問題となっている。全ての雑草を枯らすはずであった</w:t>
      </w:r>
      <w:r w:rsidR="00996A4E">
        <w:rPr>
          <w:rFonts w:hint="eastAsia"/>
          <w:szCs w:val="21"/>
        </w:rPr>
        <w:t>非選択性除草剤でも枯れない</w:t>
      </w:r>
      <w:r w:rsidR="005A2FB5">
        <w:rPr>
          <w:rFonts w:hint="eastAsia"/>
          <w:szCs w:val="21"/>
        </w:rPr>
        <w:t>とされ</w:t>
      </w:r>
      <w:r w:rsidR="00D17718">
        <w:rPr>
          <w:rFonts w:hint="eastAsia"/>
          <w:szCs w:val="21"/>
        </w:rPr>
        <w:t>、国際除草剤耐性雑草調査の責任者である</w:t>
      </w:r>
      <w:proofErr w:type="spellStart"/>
      <w:r w:rsidR="00D17718">
        <w:rPr>
          <w:rFonts w:hint="eastAsia"/>
          <w:szCs w:val="21"/>
        </w:rPr>
        <w:t>Lan</w:t>
      </w:r>
      <w:proofErr w:type="spellEnd"/>
      <w:r w:rsidR="00D17718">
        <w:rPr>
          <w:rFonts w:hint="eastAsia"/>
          <w:szCs w:val="21"/>
        </w:rPr>
        <w:t xml:space="preserve">　</w:t>
      </w:r>
      <w:r w:rsidR="00D17718">
        <w:rPr>
          <w:rFonts w:hint="eastAsia"/>
          <w:szCs w:val="21"/>
        </w:rPr>
        <w:t>Heap</w:t>
      </w:r>
      <w:r w:rsidR="00D17718">
        <w:rPr>
          <w:rFonts w:hint="eastAsia"/>
          <w:szCs w:val="21"/>
        </w:rPr>
        <w:t>によると「世界</w:t>
      </w:r>
      <w:r w:rsidR="00D17718">
        <w:rPr>
          <w:rFonts w:hint="eastAsia"/>
          <w:szCs w:val="21"/>
        </w:rPr>
        <w:t>18</w:t>
      </w:r>
      <w:r w:rsidR="00D17718">
        <w:rPr>
          <w:rFonts w:hint="eastAsia"/>
          <w:szCs w:val="21"/>
        </w:rPr>
        <w:t>カ国ですでに確認されていて特にブラジル、オーストラリア、アルゼンチン、パラグアイで深刻な被害が出ている。」</w:t>
      </w:r>
      <w:r>
        <w:rPr>
          <w:rStyle w:val="a9"/>
          <w:szCs w:val="21"/>
        </w:rPr>
        <w:footnoteReference w:id="15"/>
      </w:r>
      <w:r w:rsidR="00D17718">
        <w:rPr>
          <w:rFonts w:hint="eastAsia"/>
          <w:szCs w:val="21"/>
        </w:rPr>
        <w:t>としている。</w:t>
      </w:r>
      <w:r>
        <w:rPr>
          <w:rFonts w:asciiTheme="minorEastAsia" w:hAnsiTheme="minorEastAsia" w:hint="eastAsia"/>
          <w:szCs w:val="21"/>
        </w:rPr>
        <w:t xml:space="preserve">　　　　　　</w:t>
      </w:r>
    </w:p>
    <w:p w14:paraId="0E37FFD2" w14:textId="77777777" w:rsidR="006B6AE3" w:rsidRDefault="006B6AE3" w:rsidP="006B6AE3">
      <w:r>
        <w:rPr>
          <w:rFonts w:asciiTheme="minorEastAsia" w:hAnsiTheme="minorEastAsia" w:hint="eastAsia"/>
          <w:szCs w:val="21"/>
        </w:rPr>
        <w:t xml:space="preserve">　</w:t>
      </w:r>
      <w:r w:rsidR="00D17718">
        <w:rPr>
          <w:rFonts w:hint="eastAsia"/>
          <w:szCs w:val="21"/>
        </w:rPr>
        <w:t>原因としては農家の使用する除草剤の多様性の低下が主である。従来の栽培方法でも除草剤耐性雑草は生まれるがラウンドアップ（グリホサート）のみに頼り</w:t>
      </w:r>
      <w:r w:rsidR="00D17718" w:rsidRPr="00B451AB">
        <w:rPr>
          <w:rFonts w:hint="eastAsia"/>
          <w:szCs w:val="21"/>
        </w:rPr>
        <w:t>耕起栽培</w:t>
      </w:r>
      <w:r w:rsidR="00D17718">
        <w:rPr>
          <w:rFonts w:hint="eastAsia"/>
          <w:szCs w:val="21"/>
        </w:rPr>
        <w:t>を行わないことがさらに耐性雑草発生に拍車をかけている</w:t>
      </w:r>
      <w:r>
        <w:rPr>
          <w:rFonts w:hint="eastAsia"/>
        </w:rPr>
        <w:t>。</w:t>
      </w:r>
      <w:r w:rsidR="00996A4E">
        <w:rPr>
          <w:rFonts w:hint="eastAsia"/>
        </w:rPr>
        <w:t>対策としては複数種類の除草剤を利用すること</w:t>
      </w:r>
      <w:r w:rsidR="00573E6D">
        <w:rPr>
          <w:rFonts w:hint="eastAsia"/>
        </w:rPr>
        <w:t>や耕起を行うこと</w:t>
      </w:r>
      <w:r w:rsidR="00294B7F">
        <w:rPr>
          <w:rFonts w:hint="eastAsia"/>
        </w:rPr>
        <w:t>や種子会社による新品種の開発などがあげられる</w:t>
      </w:r>
      <w:r w:rsidR="00573E6D">
        <w:rPr>
          <w:rFonts w:hint="eastAsia"/>
        </w:rPr>
        <w:t>。</w:t>
      </w:r>
    </w:p>
    <w:p w14:paraId="155DCE05" w14:textId="77777777" w:rsidR="006B6AE3" w:rsidRDefault="006B6AE3" w:rsidP="006B6AE3"/>
    <w:p w14:paraId="4AB555D3" w14:textId="77777777" w:rsidR="006B6AE3" w:rsidRDefault="006B6AE3" w:rsidP="006B6AE3">
      <w:r>
        <w:rPr>
          <w:rFonts w:hint="eastAsia"/>
        </w:rPr>
        <w:t>Ⅲ．</w:t>
      </w:r>
      <w:r w:rsidR="00573E6D">
        <w:rPr>
          <w:rFonts w:hint="eastAsia"/>
        </w:rPr>
        <w:t>遺伝子汚染の危険性</w:t>
      </w:r>
    </w:p>
    <w:p w14:paraId="29AA564A" w14:textId="77777777" w:rsidR="006B6AE3" w:rsidRDefault="006B6AE3" w:rsidP="006B6AE3">
      <w:pPr>
        <w:rPr>
          <w:rFonts w:asciiTheme="minorEastAsia" w:hAnsiTheme="minorEastAsia"/>
          <w:szCs w:val="21"/>
        </w:rPr>
      </w:pPr>
      <w:r>
        <w:rPr>
          <w:rFonts w:hint="eastAsia"/>
        </w:rPr>
        <w:t xml:space="preserve">　</w:t>
      </w:r>
      <w:r w:rsidR="000C27FC">
        <w:rPr>
          <w:rFonts w:hint="eastAsia"/>
        </w:rPr>
        <w:t>遺伝子汚染とは</w:t>
      </w:r>
      <w:r w:rsidR="000C27FC" w:rsidRPr="00237A08">
        <w:rPr>
          <w:rFonts w:hint="eastAsia"/>
        </w:rPr>
        <w:t>、</w:t>
      </w:r>
      <w:r w:rsidR="000C27FC">
        <w:rPr>
          <w:rFonts w:hint="eastAsia"/>
        </w:rPr>
        <w:t>野生の生物に人為的活動によってきた近縁種と交雑することで本来の多様性が乱れることであり、メダカなどで問題になっている。これは非遺伝子組換えでの問題であるがここでは遺伝子組み換え生物の場合を考え「遺伝子組み換え技術が意図せぬ形で野生に広がること」と考え定義することとする。</w:t>
      </w:r>
    </w:p>
    <w:p w14:paraId="06BD25F6" w14:textId="77777777" w:rsidR="006B6AE3" w:rsidRDefault="006B6AE3" w:rsidP="006B6AE3">
      <w:r>
        <w:rPr>
          <w:rFonts w:hint="eastAsia"/>
        </w:rPr>
        <w:t xml:space="preserve">　</w:t>
      </w:r>
      <w:r w:rsidR="000C27FC">
        <w:rPr>
          <w:rFonts w:hint="eastAsia"/>
        </w:rPr>
        <w:t>問題は上記の通り遺伝子組み換え作物だけの問題ではないが、遺伝子組み換えにおいても不安を生んでいると言える。</w:t>
      </w:r>
    </w:p>
    <w:p w14:paraId="2165F003" w14:textId="77777777" w:rsidR="006B6AE3" w:rsidRDefault="006B6AE3" w:rsidP="006B6AE3">
      <w:r>
        <w:rPr>
          <w:rFonts w:hint="eastAsia"/>
        </w:rPr>
        <w:t xml:space="preserve">　</w:t>
      </w:r>
      <w:r w:rsidR="000C27FC">
        <w:rPr>
          <w:rFonts w:hint="eastAsia"/>
        </w:rPr>
        <w:t>それは生物である以上遺伝子組み換え作物の性質が自然に拡散した場合除去することが非常に困難であることである。特に見た目で判断できない性質（除草剤耐性など）を獲得した場合は在来種との区別が全くつかないということもある。</w:t>
      </w:r>
    </w:p>
    <w:p w14:paraId="5EB56BEB" w14:textId="77777777" w:rsidR="006B6AE3" w:rsidRDefault="006B6AE3" w:rsidP="006B6AE3">
      <w:r>
        <w:rPr>
          <w:rFonts w:hint="eastAsia"/>
        </w:rPr>
        <w:t xml:space="preserve">　</w:t>
      </w:r>
      <w:r w:rsidR="000C27FC">
        <w:rPr>
          <w:rFonts w:hint="eastAsia"/>
        </w:rPr>
        <w:t>日本においてはツル豆という大豆の原種やセイヨウナタネが自生しているため交雑によって遺伝子組み換え作物の性質が広がることが懸念されているのである。</w:t>
      </w:r>
    </w:p>
    <w:p w14:paraId="70FA057D" w14:textId="77777777" w:rsidR="00FB3CD2" w:rsidRDefault="006B6AE3" w:rsidP="00FB3CD2">
      <w:pPr>
        <w:rPr>
          <w:rFonts w:asciiTheme="minorEastAsia" w:hAnsiTheme="minorEastAsia"/>
        </w:rPr>
      </w:pPr>
      <w:r w:rsidRPr="00FB3CD2">
        <w:rPr>
          <w:rFonts w:asciiTheme="minorEastAsia" w:hAnsiTheme="minorEastAsia" w:hint="eastAsia"/>
        </w:rPr>
        <w:t xml:space="preserve">　</w:t>
      </w:r>
      <w:r w:rsidR="000C27FC" w:rsidRPr="00FB3CD2">
        <w:rPr>
          <w:rFonts w:asciiTheme="minorEastAsia" w:hAnsiTheme="minorEastAsia" w:hint="eastAsia"/>
        </w:rPr>
        <w:t>しかし農林水産省農林水産技術会議の「生物多様性影響評価検討会」によると現在栽培されているGMナタネについては「非組換えセイヨウナタネと同様に定期的に人の手が加えられる地域では自生化し得るものの、信頼外来種のように生物多様性に影響を与えるほどの競合における優位性を有する可能性は極めて低い」</w:t>
      </w:r>
      <w:r w:rsidR="000C27FC" w:rsidRPr="00FB3CD2">
        <w:rPr>
          <w:rStyle w:val="a9"/>
          <w:rFonts w:asciiTheme="minorEastAsia" w:hAnsiTheme="minorEastAsia"/>
        </w:rPr>
        <w:footnoteReference w:id="16"/>
      </w:r>
      <w:r w:rsidR="000C27FC" w:rsidRPr="00FB3CD2">
        <w:rPr>
          <w:rFonts w:asciiTheme="minorEastAsia" w:hAnsiTheme="minorEastAsia" w:hint="eastAsia"/>
        </w:rPr>
        <w:t>としている。</w:t>
      </w:r>
    </w:p>
    <w:p w14:paraId="42B17490" w14:textId="77777777" w:rsidR="00FB3CD2" w:rsidRDefault="00FB3CD2" w:rsidP="00FB3CD2">
      <w:pPr>
        <w:rPr>
          <w:rFonts w:asciiTheme="minorEastAsia" w:hAnsiTheme="minorEastAsia"/>
          <w:szCs w:val="21"/>
        </w:rPr>
      </w:pPr>
      <w:r>
        <w:rPr>
          <w:rFonts w:asciiTheme="minorEastAsia" w:hAnsiTheme="minorEastAsia" w:hint="eastAsia"/>
        </w:rPr>
        <w:t xml:space="preserve">　</w:t>
      </w:r>
      <w:r w:rsidR="000C27FC" w:rsidRPr="00FB3CD2">
        <w:rPr>
          <w:rFonts w:asciiTheme="minorEastAsia" w:hAnsiTheme="minorEastAsia" w:hint="eastAsia"/>
        </w:rPr>
        <w:t>また国際的には遺</w:t>
      </w:r>
      <w:r w:rsidR="006B6AE3" w:rsidRPr="00FB3CD2">
        <w:rPr>
          <w:rFonts w:asciiTheme="minorEastAsia" w:hAnsiTheme="minorEastAsia" w:hint="eastAsia"/>
        </w:rPr>
        <w:t>伝子組換え生物の国境の超える際のルールを定めたカルタヘナ条約</w:t>
      </w:r>
      <w:r w:rsidRPr="00FB3CD2">
        <w:rPr>
          <w:rFonts w:asciiTheme="minorEastAsia" w:hAnsiTheme="minorEastAsia" w:hint="eastAsia"/>
        </w:rPr>
        <w:t>の締結</w:t>
      </w:r>
      <w:r w:rsidR="000C27FC" w:rsidRPr="00FB3CD2">
        <w:rPr>
          <w:rFonts w:asciiTheme="minorEastAsia" w:hAnsiTheme="minorEastAsia" w:hint="eastAsia"/>
        </w:rPr>
        <w:t>など遺伝子汚染が起こり生物多様性に影響を及ぼさないよう</w:t>
      </w:r>
      <w:r w:rsidR="00294B7F" w:rsidRPr="00FB3CD2">
        <w:rPr>
          <w:rFonts w:asciiTheme="minorEastAsia" w:hAnsiTheme="minorEastAsia" w:hint="eastAsia"/>
        </w:rPr>
        <w:t>に</w:t>
      </w:r>
      <w:r w:rsidRPr="00FB3CD2">
        <w:rPr>
          <w:rFonts w:asciiTheme="minorEastAsia" w:hAnsiTheme="minorEastAsia" w:hint="eastAsia"/>
        </w:rPr>
        <w:t>する国際的な動きも</w:t>
      </w:r>
    </w:p>
    <w:p w14:paraId="2CD17E5F" w14:textId="77777777" w:rsidR="00921A92" w:rsidRPr="00FB3CD2" w:rsidRDefault="00FB3CD2" w:rsidP="00FB3CD2">
      <w:pPr>
        <w:rPr>
          <w:rFonts w:asciiTheme="minorEastAsia" w:hAnsiTheme="minorEastAsia"/>
          <w:szCs w:val="21"/>
        </w:rPr>
      </w:pPr>
      <w:r w:rsidRPr="00FB3CD2">
        <w:rPr>
          <w:rFonts w:asciiTheme="minorEastAsia" w:hAnsiTheme="minorEastAsia" w:hint="eastAsia"/>
        </w:rPr>
        <w:t>進んで</w:t>
      </w:r>
      <w:r w:rsidR="000C27FC" w:rsidRPr="00FB3CD2">
        <w:rPr>
          <w:rFonts w:asciiTheme="minorEastAsia" w:hAnsiTheme="minorEastAsia" w:hint="eastAsia"/>
        </w:rPr>
        <w:t>いる。</w:t>
      </w:r>
    </w:p>
    <w:p w14:paraId="7BE9D5FA" w14:textId="77777777" w:rsidR="006B6AE3" w:rsidRPr="006B6AE3" w:rsidRDefault="006B6AE3" w:rsidP="000C27FC">
      <w:pPr>
        <w:ind w:left="420" w:hangingChars="200" w:hanging="420"/>
      </w:pPr>
    </w:p>
    <w:p w14:paraId="54C2E55C" w14:textId="77777777" w:rsidR="00215687" w:rsidRDefault="00215687" w:rsidP="000C27FC">
      <w:pPr>
        <w:ind w:left="420" w:hangingChars="200" w:hanging="420"/>
      </w:pPr>
    </w:p>
    <w:p w14:paraId="53E5D8E8" w14:textId="77777777" w:rsidR="00921A92" w:rsidRDefault="006B6AE3" w:rsidP="000C27FC">
      <w:pPr>
        <w:ind w:left="420" w:hangingChars="200" w:hanging="420"/>
      </w:pPr>
      <w:r>
        <w:rPr>
          <w:rFonts w:hint="eastAsia"/>
        </w:rPr>
        <w:t>２、</w:t>
      </w:r>
      <w:r w:rsidR="00921A92">
        <w:rPr>
          <w:rFonts w:hint="eastAsia"/>
        </w:rPr>
        <w:t>グローバリゼーション</w:t>
      </w:r>
    </w:p>
    <w:p w14:paraId="33BF17FF" w14:textId="77777777" w:rsidR="00FB3CD2" w:rsidRDefault="00947A38" w:rsidP="00FB3CD2">
      <w:pPr>
        <w:ind w:left="420" w:hangingChars="200" w:hanging="420"/>
      </w:pPr>
      <w:r>
        <w:rPr>
          <w:rFonts w:hint="eastAsia"/>
        </w:rPr>
        <w:t xml:space="preserve">　</w:t>
      </w:r>
      <w:r w:rsidR="006B6AE3">
        <w:rPr>
          <w:rFonts w:hint="eastAsia"/>
        </w:rPr>
        <w:t>Ⅰ．</w:t>
      </w:r>
      <w:r w:rsidR="00921A92">
        <w:rPr>
          <w:rFonts w:hint="eastAsia"/>
        </w:rPr>
        <w:t>バイオメジャーによる開発</w:t>
      </w:r>
    </w:p>
    <w:p w14:paraId="450851B3" w14:textId="77777777" w:rsidR="00921A92" w:rsidRPr="00FB3CD2" w:rsidRDefault="00FB3CD2" w:rsidP="00FB3CD2">
      <w:pPr>
        <w:pStyle w:val="ae"/>
      </w:pPr>
      <w:r>
        <w:rPr>
          <w:rFonts w:hint="eastAsia"/>
        </w:rPr>
        <w:t xml:space="preserve">　</w:t>
      </w:r>
      <w:r w:rsidR="00921A92" w:rsidRPr="00FB3CD2">
        <w:rPr>
          <w:rFonts w:hint="eastAsia"/>
        </w:rPr>
        <w:t>種子の開発や新品種の開発は従来</w:t>
      </w:r>
      <w:r w:rsidR="006D23CC" w:rsidRPr="00FB3CD2">
        <w:rPr>
          <w:rFonts w:hint="eastAsia"/>
        </w:rPr>
        <w:t>多くのコストがかかるもの</w:t>
      </w:r>
      <w:r w:rsidR="006B6AE3" w:rsidRPr="00FB3CD2">
        <w:rPr>
          <w:rFonts w:hint="eastAsia"/>
        </w:rPr>
        <w:t>であった。しかし遺伝子組換え</w:t>
      </w:r>
      <w:r w:rsidR="006D23CC" w:rsidRPr="00FB3CD2">
        <w:rPr>
          <w:rFonts w:hint="eastAsia"/>
        </w:rPr>
        <w:t>作物の場合従来以上の厳しい検査基準、</w:t>
      </w:r>
      <w:r w:rsidR="000B0EBB" w:rsidRPr="00FB3CD2">
        <w:rPr>
          <w:rFonts w:hint="eastAsia"/>
        </w:rPr>
        <w:t>膨大な時間</w:t>
      </w:r>
      <w:r>
        <w:rPr>
          <w:rFonts w:hint="eastAsia"/>
        </w:rPr>
        <w:t>がかかることから開発コストは</w:t>
      </w:r>
      <w:r w:rsidR="006D23CC" w:rsidRPr="00FB3CD2">
        <w:rPr>
          <w:rFonts w:hint="eastAsia"/>
        </w:rPr>
        <w:t>膨大となるため一部大企業のみしか種子を開発することが出来ない状況となってしまった。結果として</w:t>
      </w:r>
      <w:r w:rsidR="00660C33" w:rsidRPr="00FB3CD2">
        <w:rPr>
          <w:rFonts w:hint="eastAsia"/>
        </w:rPr>
        <w:t>M</w:t>
      </w:r>
      <w:r w:rsidR="00660C33" w:rsidRPr="00FB3CD2">
        <w:rPr>
          <w:rFonts w:hint="eastAsia"/>
        </w:rPr>
        <w:t>＆</w:t>
      </w:r>
      <w:r w:rsidR="00660C33" w:rsidRPr="00FB3CD2">
        <w:rPr>
          <w:rFonts w:hint="eastAsia"/>
        </w:rPr>
        <w:t>A</w:t>
      </w:r>
      <w:r w:rsidR="00660C33" w:rsidRPr="00FB3CD2">
        <w:rPr>
          <w:rFonts w:hint="eastAsia"/>
        </w:rPr>
        <w:t>が進み</w:t>
      </w:r>
      <w:r w:rsidR="006D23CC" w:rsidRPr="00FB3CD2">
        <w:rPr>
          <w:rFonts w:hint="eastAsia"/>
        </w:rPr>
        <w:t>遺伝子組換え作物は一部大企業である</w:t>
      </w:r>
      <w:r w:rsidR="000B0EBB" w:rsidRPr="00FB3CD2">
        <w:rPr>
          <w:rFonts w:hint="eastAsia"/>
        </w:rPr>
        <w:t>Monsanto</w:t>
      </w:r>
      <w:r w:rsidR="000B0EBB" w:rsidRPr="00FB3CD2">
        <w:rPr>
          <w:rFonts w:hint="eastAsia"/>
        </w:rPr>
        <w:t>や</w:t>
      </w:r>
      <w:r w:rsidR="000B0EBB" w:rsidRPr="00FB3CD2">
        <w:rPr>
          <w:rFonts w:hint="eastAsia"/>
        </w:rPr>
        <w:t>D</w:t>
      </w:r>
      <w:r w:rsidR="000B0EBB">
        <w:rPr>
          <w:rFonts w:hint="eastAsia"/>
        </w:rPr>
        <w:t>u</w:t>
      </w:r>
      <w:r w:rsidR="000B0EBB">
        <w:rPr>
          <w:rFonts w:hint="eastAsia"/>
        </w:rPr>
        <w:t xml:space="preserve">　</w:t>
      </w:r>
      <w:r w:rsidR="000B0EBB">
        <w:rPr>
          <w:rFonts w:hint="eastAsia"/>
        </w:rPr>
        <w:t>Pont</w:t>
      </w:r>
      <w:r w:rsidR="000B0EBB">
        <w:rPr>
          <w:rFonts w:hint="eastAsia"/>
        </w:rPr>
        <w:t>といった</w:t>
      </w:r>
      <w:r w:rsidR="006D23CC">
        <w:rPr>
          <w:rFonts w:hint="eastAsia"/>
        </w:rPr>
        <w:t>「バイオメジャー」と呼ばれる企業でほぼ市場を独占する結果となっている。</w:t>
      </w:r>
    </w:p>
    <w:p w14:paraId="6B33257A" w14:textId="77777777" w:rsidR="00660C33" w:rsidRPr="00660C33" w:rsidRDefault="000B0EBB" w:rsidP="00FB3CD2">
      <w:pPr>
        <w:pStyle w:val="ae"/>
      </w:pPr>
      <w:r>
        <w:rPr>
          <w:rFonts w:hint="eastAsia"/>
        </w:rPr>
        <w:t xml:space="preserve">　種子開発を一部企業が独占することには</w:t>
      </w:r>
      <w:r w:rsidR="00660C33">
        <w:rPr>
          <w:rFonts w:hint="eastAsia"/>
        </w:rPr>
        <w:t>発展途上国にとって不利な契約を迫られることや国の食料を他国の企業によってつかまれる恐れがあり問題視されている。</w:t>
      </w:r>
    </w:p>
    <w:p w14:paraId="2431B747" w14:textId="77777777" w:rsidR="00660C33" w:rsidRDefault="000B0EBB" w:rsidP="009A2E09">
      <w:pPr>
        <w:rPr>
          <w:rFonts w:asciiTheme="minorEastAsia" w:hAnsiTheme="minorEastAsia"/>
          <w:szCs w:val="21"/>
        </w:rPr>
      </w:pPr>
      <w:r>
        <w:rPr>
          <w:rFonts w:asciiTheme="minorEastAsia" w:hAnsiTheme="minorEastAsia" w:hint="eastAsia"/>
          <w:szCs w:val="21"/>
        </w:rPr>
        <w:t xml:space="preserve">　</w:t>
      </w:r>
    </w:p>
    <w:p w14:paraId="2250DF4F" w14:textId="77777777" w:rsidR="00215687" w:rsidRDefault="00215687" w:rsidP="00FB3CD2">
      <w:pPr>
        <w:pStyle w:val="ae"/>
      </w:pPr>
    </w:p>
    <w:p w14:paraId="13939C3D" w14:textId="77777777" w:rsidR="000B0EBB" w:rsidRDefault="00947A38" w:rsidP="00FB3CD2">
      <w:pPr>
        <w:pStyle w:val="ae"/>
      </w:pPr>
      <w:r>
        <w:rPr>
          <w:rFonts w:hint="eastAsia"/>
        </w:rPr>
        <w:t xml:space="preserve">　</w:t>
      </w:r>
      <w:r w:rsidR="00172518">
        <w:rPr>
          <w:rFonts w:hint="eastAsia"/>
        </w:rPr>
        <w:t>Ⅱ．</w:t>
      </w:r>
      <w:r w:rsidR="00660C33">
        <w:rPr>
          <w:rFonts w:hint="eastAsia"/>
        </w:rPr>
        <w:t>単一品種化のリスク</w:t>
      </w:r>
    </w:p>
    <w:p w14:paraId="20DD8F07" w14:textId="77777777" w:rsidR="00172518" w:rsidRPr="00215687" w:rsidRDefault="005A2FB5" w:rsidP="00215687">
      <w:pPr>
        <w:rPr>
          <w:rFonts w:asciiTheme="minorEastAsia" w:hAnsiTheme="minorEastAsia"/>
          <w:szCs w:val="21"/>
        </w:rPr>
      </w:pPr>
      <w:r>
        <w:rPr>
          <w:rFonts w:asciiTheme="minorEastAsia" w:hAnsiTheme="minorEastAsia" w:hint="eastAsia"/>
          <w:szCs w:val="21"/>
        </w:rPr>
        <w:t xml:space="preserve">　</w:t>
      </w:r>
      <w:r w:rsidRPr="00D31911">
        <w:rPr>
          <w:rFonts w:asciiTheme="minorEastAsia" w:hAnsiTheme="minorEastAsia" w:hint="eastAsia"/>
          <w:szCs w:val="21"/>
        </w:rPr>
        <w:t>遺伝子組み換えという「優れた品種」が他の種を排斥し、単一品種が増加するという</w:t>
      </w:r>
      <w:r w:rsidRPr="00172518">
        <w:rPr>
          <w:rFonts w:hint="eastAsia"/>
          <w:szCs w:val="21"/>
        </w:rPr>
        <w:t>考えがある。単一品種化の主なリスクは気候変化や病気に弱くなることである。</w:t>
      </w:r>
      <w:r w:rsidRPr="00172518">
        <w:rPr>
          <w:rFonts w:hint="eastAsia"/>
          <w:szCs w:val="21"/>
        </w:rPr>
        <w:t>1</w:t>
      </w:r>
      <w:r w:rsidRPr="00172518">
        <w:rPr>
          <w:rFonts w:hint="eastAsia"/>
          <w:szCs w:val="21"/>
        </w:rPr>
        <w:t>つの種であるため同時期に影響を受けることでリスク分散できず多くの農家に同時に損害を与える可能性が高まる。</w:t>
      </w:r>
      <w:r w:rsidRPr="00172518">
        <w:rPr>
          <w:rFonts w:hint="eastAsia"/>
          <w:szCs w:val="21"/>
        </w:rPr>
        <w:t>1840</w:t>
      </w:r>
      <w:r w:rsidRPr="00172518">
        <w:rPr>
          <w:rFonts w:hint="eastAsia"/>
          <w:szCs w:val="21"/>
        </w:rPr>
        <w:t>年にアイルランドで起きたジャガイモ飢饉はその典型で生産性の高い単一品種に依存した結果疫病によりジャガイモが壊滅的な被害を受け結果として大量の餓死者を出した。</w:t>
      </w:r>
    </w:p>
    <w:p w14:paraId="6EC4C23A" w14:textId="77777777" w:rsidR="00D212FE" w:rsidRPr="00172518" w:rsidRDefault="00172518" w:rsidP="00172518">
      <w:pPr>
        <w:pStyle w:val="ae"/>
        <w:rPr>
          <w:szCs w:val="21"/>
        </w:rPr>
      </w:pPr>
      <w:r>
        <w:rPr>
          <w:rFonts w:hint="eastAsia"/>
          <w:szCs w:val="21"/>
        </w:rPr>
        <w:t xml:space="preserve">　</w:t>
      </w:r>
      <w:r w:rsidR="005A2FB5" w:rsidRPr="00172518">
        <w:rPr>
          <w:rFonts w:hint="eastAsia"/>
          <w:szCs w:val="21"/>
        </w:rPr>
        <w:t>しかしこの単一品種化</w:t>
      </w:r>
      <w:r w:rsidR="00146670" w:rsidRPr="00172518">
        <w:rPr>
          <w:rFonts w:hint="eastAsia"/>
          <w:szCs w:val="21"/>
        </w:rPr>
        <w:t>は</w:t>
      </w:r>
      <w:r w:rsidR="00215687">
        <w:rPr>
          <w:rFonts w:hint="eastAsia"/>
          <w:szCs w:val="21"/>
        </w:rPr>
        <w:t>遺伝子組換え作物固有の問題とは言えない。従来の品種改良でも同様の問題が起きていたことから、これを遺伝子組換え作物の問題ととらえることは論点が外れているともいえる。また単一化が</w:t>
      </w:r>
      <w:r w:rsidR="00294B7F" w:rsidRPr="00172518">
        <w:rPr>
          <w:rFonts w:hint="eastAsia"/>
          <w:szCs w:val="21"/>
        </w:rPr>
        <w:t>過去のように進むかは疑</w:t>
      </w:r>
      <w:r w:rsidR="00215687">
        <w:rPr>
          <w:rFonts w:hint="eastAsia"/>
          <w:szCs w:val="21"/>
        </w:rPr>
        <w:t>問である</w:t>
      </w:r>
      <w:r w:rsidR="00294B7F" w:rsidRPr="00172518">
        <w:rPr>
          <w:rFonts w:hint="eastAsia"/>
          <w:szCs w:val="21"/>
        </w:rPr>
        <w:t>。</w:t>
      </w:r>
      <w:r w:rsidR="00146670" w:rsidRPr="00172518">
        <w:rPr>
          <w:rFonts w:hint="eastAsia"/>
          <w:szCs w:val="21"/>
        </w:rPr>
        <w:t>現在</w:t>
      </w:r>
      <w:r w:rsidR="00FB3CD2" w:rsidRPr="00172518">
        <w:rPr>
          <w:rFonts w:hint="eastAsia"/>
          <w:szCs w:val="21"/>
        </w:rPr>
        <w:t>では単一品種化のリスクは知られ行政による介入も可能であること、</w:t>
      </w:r>
      <w:r w:rsidR="00C47279">
        <w:rPr>
          <w:rFonts w:hint="eastAsia"/>
          <w:szCs w:val="21"/>
        </w:rPr>
        <w:t>飼料系の穀物ではなく人が食べるものの場合</w:t>
      </w:r>
      <w:r w:rsidR="00215687">
        <w:rPr>
          <w:rFonts w:hint="eastAsia"/>
          <w:szCs w:val="21"/>
        </w:rPr>
        <w:t>現在では</w:t>
      </w:r>
      <w:r w:rsidR="00C47279">
        <w:rPr>
          <w:rFonts w:hint="eastAsia"/>
          <w:szCs w:val="21"/>
        </w:rPr>
        <w:t>ニッチな需要</w:t>
      </w:r>
      <w:r w:rsidR="00146670" w:rsidRPr="00172518">
        <w:rPr>
          <w:rFonts w:hint="eastAsia"/>
          <w:szCs w:val="21"/>
        </w:rPr>
        <w:t>が必ずあり、必ずしも単一化しないことがあげられるからである</w:t>
      </w:r>
      <w:r>
        <w:rPr>
          <w:rFonts w:hint="eastAsia"/>
          <w:szCs w:val="21"/>
        </w:rPr>
        <w:t>。</w:t>
      </w:r>
    </w:p>
    <w:p w14:paraId="0D5C1E3D" w14:textId="77777777" w:rsidR="00146670" w:rsidRPr="00172518" w:rsidRDefault="00146670" w:rsidP="00172518">
      <w:pPr>
        <w:pStyle w:val="ae"/>
        <w:rPr>
          <w:szCs w:val="21"/>
        </w:rPr>
      </w:pPr>
    </w:p>
    <w:p w14:paraId="2200C4AE" w14:textId="77777777" w:rsidR="00146670" w:rsidRDefault="00146670">
      <w:pPr>
        <w:rPr>
          <w:rFonts w:asciiTheme="minorEastAsia" w:hAnsiTheme="minorEastAsia"/>
          <w:szCs w:val="21"/>
        </w:rPr>
      </w:pPr>
    </w:p>
    <w:p w14:paraId="12861BBC" w14:textId="77777777" w:rsidR="00323A3C" w:rsidRDefault="00172518">
      <w:pPr>
        <w:rPr>
          <w:rFonts w:asciiTheme="minorEastAsia" w:hAnsiTheme="minorEastAsia"/>
          <w:szCs w:val="21"/>
        </w:rPr>
      </w:pPr>
      <w:r>
        <w:rPr>
          <w:rFonts w:asciiTheme="minorEastAsia" w:hAnsiTheme="minorEastAsia" w:hint="eastAsia"/>
          <w:szCs w:val="21"/>
        </w:rPr>
        <w:t>３、</w:t>
      </w:r>
      <w:r w:rsidR="00323A3C">
        <w:rPr>
          <w:rFonts w:asciiTheme="minorEastAsia" w:hAnsiTheme="minorEastAsia" w:hint="eastAsia"/>
          <w:szCs w:val="21"/>
        </w:rPr>
        <w:t>消費者の不安</w:t>
      </w:r>
    </w:p>
    <w:p w14:paraId="3DE2AA94" w14:textId="77777777" w:rsidR="00323A3C" w:rsidRDefault="00947A38">
      <w:pPr>
        <w:rPr>
          <w:rFonts w:asciiTheme="minorEastAsia" w:hAnsiTheme="minorEastAsia"/>
          <w:szCs w:val="21"/>
        </w:rPr>
      </w:pPr>
      <w:r>
        <w:rPr>
          <w:rFonts w:asciiTheme="minorEastAsia" w:hAnsiTheme="minorEastAsia" w:hint="eastAsia"/>
          <w:szCs w:val="21"/>
        </w:rPr>
        <w:t xml:space="preserve">　Ⅰ．</w:t>
      </w:r>
      <w:r w:rsidR="00323A3C">
        <w:rPr>
          <w:rFonts w:asciiTheme="minorEastAsia" w:hAnsiTheme="minorEastAsia" w:hint="eastAsia"/>
          <w:szCs w:val="21"/>
        </w:rPr>
        <w:t>受け入れられない遺伝子組換え</w:t>
      </w:r>
    </w:p>
    <w:p w14:paraId="3BB6BAD8" w14:textId="77777777" w:rsidR="00F775C5" w:rsidRDefault="00D324CE" w:rsidP="00F775C5">
      <w:pPr>
        <w:rPr>
          <w:rFonts w:asciiTheme="minorEastAsia" w:hAnsiTheme="minorEastAsia"/>
          <w:szCs w:val="21"/>
        </w:rPr>
      </w:pPr>
      <w:r>
        <w:rPr>
          <w:rFonts w:asciiTheme="minorEastAsia" w:hAnsiTheme="minorEastAsia" w:hint="eastAsia"/>
          <w:szCs w:val="21"/>
        </w:rPr>
        <w:t xml:space="preserve">　</w:t>
      </w:r>
      <w:r w:rsidR="00323A3C">
        <w:rPr>
          <w:rFonts w:asciiTheme="minorEastAsia" w:hAnsiTheme="minorEastAsia" w:hint="eastAsia"/>
          <w:szCs w:val="21"/>
        </w:rPr>
        <w:t>遺伝子組換え作物</w:t>
      </w:r>
      <w:r>
        <w:rPr>
          <w:rFonts w:asciiTheme="minorEastAsia" w:hAnsiTheme="minorEastAsia" w:hint="eastAsia"/>
          <w:szCs w:val="21"/>
        </w:rPr>
        <w:t>による従来以上の増産が可能だとしてもそれが手に取られなければ意味がない。現在では消費者の不安も大きく世界一の遺伝子組換え作物国家である米国においても遺伝子組換え技術の多くは飼料用や油用に使われていることが現状である。日本でも遺伝子組換え作物に対する不信感は根強いと言え</w:t>
      </w:r>
      <w:r w:rsidR="009B62B0">
        <w:rPr>
          <w:rFonts w:asciiTheme="minorEastAsia" w:hAnsiTheme="minorEastAsia" w:hint="eastAsia"/>
          <w:szCs w:val="21"/>
        </w:rPr>
        <w:t>る。</w:t>
      </w:r>
      <w:r>
        <w:rPr>
          <w:rFonts w:asciiTheme="minorEastAsia" w:hAnsiTheme="minorEastAsia" w:hint="eastAsia"/>
          <w:szCs w:val="21"/>
        </w:rPr>
        <w:t>そのため</w:t>
      </w:r>
      <w:r w:rsidR="00420F7E">
        <w:rPr>
          <w:rFonts w:asciiTheme="minorEastAsia" w:hAnsiTheme="minorEastAsia" w:hint="eastAsia"/>
          <w:szCs w:val="21"/>
        </w:rPr>
        <w:t>日本、EUの</w:t>
      </w:r>
      <w:r>
        <w:rPr>
          <w:rFonts w:asciiTheme="minorEastAsia" w:hAnsiTheme="minorEastAsia" w:hint="eastAsia"/>
          <w:szCs w:val="21"/>
        </w:rPr>
        <w:t>小売業界も基本的な姿勢においては遺伝子組換え作物</w:t>
      </w:r>
      <w:r w:rsidR="009B62B0">
        <w:rPr>
          <w:rFonts w:asciiTheme="minorEastAsia" w:hAnsiTheme="minorEastAsia" w:hint="eastAsia"/>
          <w:szCs w:val="21"/>
        </w:rPr>
        <w:t>の使用</w:t>
      </w:r>
      <w:r w:rsidR="00420F7E">
        <w:rPr>
          <w:rFonts w:asciiTheme="minorEastAsia" w:hAnsiTheme="minorEastAsia" w:hint="eastAsia"/>
          <w:szCs w:val="21"/>
        </w:rPr>
        <w:t>した商品</w:t>
      </w:r>
      <w:r w:rsidR="009B62B0">
        <w:rPr>
          <w:rFonts w:asciiTheme="minorEastAsia" w:hAnsiTheme="minorEastAsia" w:hint="eastAsia"/>
          <w:szCs w:val="21"/>
        </w:rPr>
        <w:t>には慎重な姿勢</w:t>
      </w:r>
      <w:r>
        <w:rPr>
          <w:rFonts w:asciiTheme="minorEastAsia" w:hAnsiTheme="minorEastAsia" w:hint="eastAsia"/>
          <w:szCs w:val="21"/>
        </w:rPr>
        <w:t>を取っている。</w:t>
      </w:r>
      <w:r w:rsidR="009B62B0">
        <w:rPr>
          <w:rFonts w:asciiTheme="minorEastAsia" w:hAnsiTheme="minorEastAsia" w:hint="eastAsia"/>
          <w:szCs w:val="21"/>
        </w:rPr>
        <w:t>このような状態になった</w:t>
      </w:r>
      <w:r w:rsidR="00C72835">
        <w:rPr>
          <w:rFonts w:asciiTheme="minorEastAsia" w:hAnsiTheme="minorEastAsia" w:hint="eastAsia"/>
          <w:szCs w:val="21"/>
        </w:rPr>
        <w:t>原因としては狂牛病からの科学への不信感、日本においては成分表示のあいまいさからくる不信感などがあげられるが世界的に大きな要因として考えられるものは遺伝子組換え作物が</w:t>
      </w:r>
      <w:r w:rsidR="009B62B0">
        <w:rPr>
          <w:rFonts w:asciiTheme="minorEastAsia" w:hAnsiTheme="minorEastAsia" w:hint="eastAsia"/>
          <w:szCs w:val="21"/>
        </w:rPr>
        <w:t>生産者レベルでの利点に留まってしまい、消費者ベースでの利点がないこと</w:t>
      </w:r>
      <w:r w:rsidR="00C72835">
        <w:rPr>
          <w:rFonts w:asciiTheme="minorEastAsia" w:hAnsiTheme="minorEastAsia" w:hint="eastAsia"/>
          <w:szCs w:val="21"/>
        </w:rPr>
        <w:t>が考えら</w:t>
      </w:r>
      <w:r w:rsidR="00420F7E">
        <w:rPr>
          <w:rFonts w:asciiTheme="minorEastAsia" w:hAnsiTheme="minorEastAsia" w:hint="eastAsia"/>
          <w:szCs w:val="21"/>
        </w:rPr>
        <w:t>れる</w:t>
      </w:r>
      <w:r w:rsidR="009B62B0">
        <w:rPr>
          <w:rFonts w:asciiTheme="minorEastAsia" w:hAnsiTheme="minorEastAsia" w:hint="eastAsia"/>
          <w:szCs w:val="21"/>
        </w:rPr>
        <w:t>。従来以上に収穫量が多いとして消費者には</w:t>
      </w:r>
      <w:r w:rsidR="00CF22E9">
        <w:rPr>
          <w:rFonts w:asciiTheme="minorEastAsia" w:hAnsiTheme="minorEastAsia" w:hint="eastAsia"/>
          <w:szCs w:val="21"/>
        </w:rPr>
        <w:t>利点がなく</w:t>
      </w:r>
      <w:r w:rsidR="00C72835">
        <w:rPr>
          <w:rFonts w:asciiTheme="minorEastAsia" w:hAnsiTheme="minorEastAsia" w:hint="eastAsia"/>
          <w:szCs w:val="21"/>
        </w:rPr>
        <w:t>、むしろ消費者にとっては利益至上主義に走っているという不信感を生むこととなってしまった</w:t>
      </w:r>
      <w:r w:rsidR="00CF22E9">
        <w:rPr>
          <w:rFonts w:asciiTheme="minorEastAsia" w:hAnsiTheme="minorEastAsia" w:hint="eastAsia"/>
          <w:szCs w:val="21"/>
        </w:rPr>
        <w:t>のである。</w:t>
      </w:r>
      <w:r w:rsidR="00F775C5">
        <w:rPr>
          <w:rFonts w:asciiTheme="minorEastAsia" w:hAnsiTheme="minorEastAsia" w:hint="eastAsia"/>
          <w:szCs w:val="21"/>
        </w:rPr>
        <w:t>そのため今後は消費者にとって利点があるような遺伝子組換え作物、例としては栄養が強化されたものや、近年実用化に向けて動いている花粉症対策米などの開発が必要となるだろう。消費者にとって遺伝子組換え技術が恐ろしいものではなく、従来の品種改良のようにただ優れたものが生まれたというレベルにまで話を持っていく必要ある。そうなってはじめて遺伝子組換え技術が受け入れられ、生産者レベルで作られたものも通常通り手に取られ、食糧増産の意味が現れるだろう。</w:t>
      </w:r>
    </w:p>
    <w:p w14:paraId="6C2ACA75" w14:textId="77777777" w:rsidR="007C59E8" w:rsidRPr="00F775C5" w:rsidRDefault="007C59E8">
      <w:pPr>
        <w:rPr>
          <w:rFonts w:asciiTheme="minorEastAsia" w:hAnsiTheme="minorEastAsia"/>
          <w:szCs w:val="21"/>
        </w:rPr>
      </w:pPr>
    </w:p>
    <w:p w14:paraId="40A5CA1D" w14:textId="77777777" w:rsidR="007C59E8" w:rsidRDefault="007C59E8">
      <w:pPr>
        <w:rPr>
          <w:rFonts w:asciiTheme="minorEastAsia" w:hAnsiTheme="minorEastAsia"/>
          <w:szCs w:val="21"/>
        </w:rPr>
      </w:pPr>
    </w:p>
    <w:p w14:paraId="33478BAF" w14:textId="77777777" w:rsidR="007C59E8" w:rsidRDefault="007C59E8">
      <w:pPr>
        <w:rPr>
          <w:rFonts w:asciiTheme="minorEastAsia" w:hAnsiTheme="minorEastAsia"/>
          <w:szCs w:val="21"/>
        </w:rPr>
      </w:pPr>
      <w:r>
        <w:rPr>
          <w:rFonts w:asciiTheme="minorEastAsia" w:hAnsiTheme="minorEastAsia" w:hint="eastAsia"/>
          <w:szCs w:val="21"/>
        </w:rPr>
        <w:t>持論・結論</w:t>
      </w:r>
    </w:p>
    <w:p w14:paraId="5AC6878C" w14:textId="77777777" w:rsidR="00761974" w:rsidRDefault="00761974">
      <w:pPr>
        <w:rPr>
          <w:rFonts w:asciiTheme="minorEastAsia" w:hAnsiTheme="minorEastAsia"/>
          <w:szCs w:val="21"/>
        </w:rPr>
      </w:pPr>
      <w:r>
        <w:rPr>
          <w:rFonts w:asciiTheme="minorEastAsia" w:hAnsiTheme="minorEastAsia" w:hint="eastAsia"/>
          <w:szCs w:val="21"/>
        </w:rPr>
        <w:t xml:space="preserve">　現在栽培される遺伝子組換え作物は1996年に商業栽培が始まり、その後数々の問題点を指摘されながらも多くの国で栽培され成果を上げている。こ</w:t>
      </w:r>
      <w:r w:rsidRPr="00761974">
        <w:rPr>
          <w:rFonts w:asciiTheme="minorEastAsia" w:hAnsiTheme="minorEastAsia" w:hint="eastAsia"/>
          <w:szCs w:val="21"/>
        </w:rPr>
        <w:t>れは遺伝子組み換え作物の生産力や効率性を重視した国が多く</w:t>
      </w:r>
      <w:r>
        <w:rPr>
          <w:rFonts w:asciiTheme="minorEastAsia" w:hAnsiTheme="minorEastAsia" w:hint="eastAsia"/>
          <w:szCs w:val="21"/>
        </w:rPr>
        <w:t>存在する</w:t>
      </w:r>
      <w:r w:rsidRPr="00761974">
        <w:rPr>
          <w:rFonts w:asciiTheme="minorEastAsia" w:hAnsiTheme="minorEastAsia" w:hint="eastAsia"/>
          <w:szCs w:val="21"/>
        </w:rPr>
        <w:t>ということを表している</w:t>
      </w:r>
      <w:r>
        <w:rPr>
          <w:rFonts w:asciiTheme="minorEastAsia" w:hAnsiTheme="minorEastAsia" w:hint="eastAsia"/>
          <w:szCs w:val="21"/>
        </w:rPr>
        <w:t>。そのため今後も同様の点を重視する国では、現在の遺伝子組換え技術である除草剤耐性と害虫抵抗作の作物は自然と広がっていくだろう。これは将来の食糧増産の大きな力となる。</w:t>
      </w:r>
    </w:p>
    <w:p w14:paraId="0D4AF0EF" w14:textId="77777777" w:rsidR="004B3844" w:rsidRDefault="00761974">
      <w:pPr>
        <w:rPr>
          <w:rFonts w:asciiTheme="minorEastAsia" w:hAnsiTheme="minorEastAsia"/>
          <w:szCs w:val="21"/>
        </w:rPr>
      </w:pPr>
      <w:r>
        <w:rPr>
          <w:rFonts w:asciiTheme="minorEastAsia" w:hAnsiTheme="minorEastAsia" w:hint="eastAsia"/>
          <w:szCs w:val="21"/>
        </w:rPr>
        <w:t xml:space="preserve">　しかし未だ</w:t>
      </w:r>
      <w:r w:rsidR="00E972D7">
        <w:rPr>
          <w:rFonts w:asciiTheme="minorEastAsia" w:hAnsiTheme="minorEastAsia" w:hint="eastAsia"/>
          <w:szCs w:val="21"/>
        </w:rPr>
        <w:t>EUや日本では遺伝子組換え作物は</w:t>
      </w:r>
      <w:r w:rsidR="00071716">
        <w:rPr>
          <w:rFonts w:asciiTheme="minorEastAsia" w:hAnsiTheme="minorEastAsia" w:hint="eastAsia"/>
          <w:szCs w:val="21"/>
        </w:rPr>
        <w:t>消費者に</w:t>
      </w:r>
      <w:r w:rsidR="00E972D7">
        <w:rPr>
          <w:rFonts w:asciiTheme="minorEastAsia" w:hAnsiTheme="minorEastAsia" w:hint="eastAsia"/>
          <w:szCs w:val="21"/>
        </w:rPr>
        <w:t>受け入れられず、GM作物の栽培が盛んな米国でも遺伝子組換え麦は消費者の反対により実現できていない。EU、日本など先進国のマーケットは今後新たな巨大市場になるだけのポテンシャルを秘めている。米国においても</w:t>
      </w:r>
      <w:r w:rsidR="005D59B8">
        <w:rPr>
          <w:rFonts w:asciiTheme="minorEastAsia" w:hAnsiTheme="minorEastAsia" w:hint="eastAsia"/>
          <w:szCs w:val="21"/>
        </w:rPr>
        <w:t>直接口に入るような作物である</w:t>
      </w:r>
      <w:r w:rsidR="00A766DD">
        <w:rPr>
          <w:rFonts w:asciiTheme="minorEastAsia" w:hAnsiTheme="minorEastAsia" w:hint="eastAsia"/>
          <w:szCs w:val="21"/>
        </w:rPr>
        <w:t>遺伝子組換え麦の市場が確立できていない</w:t>
      </w:r>
      <w:r w:rsidR="005D59B8">
        <w:rPr>
          <w:rFonts w:asciiTheme="minorEastAsia" w:hAnsiTheme="minorEastAsia" w:hint="eastAsia"/>
          <w:szCs w:val="21"/>
        </w:rPr>
        <w:t>ことは同時に、</w:t>
      </w:r>
      <w:r w:rsidR="00A766DD">
        <w:rPr>
          <w:rFonts w:asciiTheme="minorEastAsia" w:hAnsiTheme="minorEastAsia" w:hint="eastAsia"/>
          <w:szCs w:val="21"/>
        </w:rPr>
        <w:t>将来の巨大市場の可能性を秘めているとも言える。</w:t>
      </w:r>
      <w:r w:rsidR="00946C8B">
        <w:rPr>
          <w:rFonts w:asciiTheme="minorEastAsia" w:hAnsiTheme="minorEastAsia" w:hint="eastAsia"/>
          <w:szCs w:val="21"/>
        </w:rPr>
        <w:t>今後このような巨大市場に遺伝子組換え作物が切り込むには生産力と効率化だけでは十分ではない。</w:t>
      </w:r>
      <w:r w:rsidR="005A262D">
        <w:rPr>
          <w:rFonts w:asciiTheme="minorEastAsia" w:hAnsiTheme="minorEastAsia" w:hint="eastAsia"/>
          <w:szCs w:val="21"/>
        </w:rPr>
        <w:t>それは</w:t>
      </w:r>
      <w:r w:rsidR="00946C8B">
        <w:rPr>
          <w:rFonts w:asciiTheme="minorEastAsia" w:hAnsiTheme="minorEastAsia" w:hint="eastAsia"/>
          <w:szCs w:val="21"/>
        </w:rPr>
        <w:t>現在遺伝子組換え作物の消費を阻む</w:t>
      </w:r>
      <w:r w:rsidR="005A262D">
        <w:rPr>
          <w:rFonts w:asciiTheme="minorEastAsia" w:hAnsiTheme="minorEastAsia" w:hint="eastAsia"/>
          <w:szCs w:val="21"/>
        </w:rPr>
        <w:t>主要な</w:t>
      </w:r>
      <w:r w:rsidR="00506ADC">
        <w:rPr>
          <w:rFonts w:asciiTheme="minorEastAsia" w:hAnsiTheme="minorEastAsia" w:hint="eastAsia"/>
          <w:szCs w:val="21"/>
        </w:rPr>
        <w:t>原因</w:t>
      </w:r>
      <w:r w:rsidR="00946C8B">
        <w:rPr>
          <w:rFonts w:asciiTheme="minorEastAsia" w:hAnsiTheme="minorEastAsia" w:hint="eastAsia"/>
          <w:szCs w:val="21"/>
        </w:rPr>
        <w:t>は消費者の</w:t>
      </w:r>
      <w:r w:rsidR="00506ADC">
        <w:rPr>
          <w:rFonts w:asciiTheme="minorEastAsia" w:hAnsiTheme="minorEastAsia" w:hint="eastAsia"/>
          <w:szCs w:val="21"/>
        </w:rPr>
        <w:t>安全性への</w:t>
      </w:r>
      <w:r w:rsidR="00946C8B">
        <w:rPr>
          <w:rFonts w:asciiTheme="minorEastAsia" w:hAnsiTheme="minorEastAsia" w:hint="eastAsia"/>
          <w:szCs w:val="21"/>
        </w:rPr>
        <w:t>不安だからである。いくら大量に生産しても誰も買わなくては意味がない、そのようなことが生産者や小売業を躊躇させ遺伝子組換え作物の普及</w:t>
      </w:r>
      <w:r w:rsidR="005A262D">
        <w:rPr>
          <w:rFonts w:asciiTheme="minorEastAsia" w:hAnsiTheme="minorEastAsia" w:hint="eastAsia"/>
          <w:szCs w:val="21"/>
        </w:rPr>
        <w:t>、消費</w:t>
      </w:r>
      <w:r w:rsidR="00946C8B">
        <w:rPr>
          <w:rFonts w:asciiTheme="minorEastAsia" w:hAnsiTheme="minorEastAsia" w:hint="eastAsia"/>
          <w:szCs w:val="21"/>
        </w:rPr>
        <w:t>を阻んでいると言える。</w:t>
      </w:r>
    </w:p>
    <w:p w14:paraId="0F09C9F5" w14:textId="77777777" w:rsidR="00946C8B" w:rsidRDefault="00946C8B">
      <w:pPr>
        <w:rPr>
          <w:rFonts w:asciiTheme="minorEastAsia" w:hAnsiTheme="minorEastAsia"/>
          <w:szCs w:val="21"/>
        </w:rPr>
      </w:pPr>
      <w:r>
        <w:rPr>
          <w:rFonts w:asciiTheme="minorEastAsia" w:hAnsiTheme="minorEastAsia" w:hint="eastAsia"/>
          <w:szCs w:val="21"/>
        </w:rPr>
        <w:t xml:space="preserve">　よって今後は</w:t>
      </w:r>
      <w:r w:rsidR="0069120F">
        <w:rPr>
          <w:rFonts w:asciiTheme="minorEastAsia" w:hAnsiTheme="minorEastAsia" w:hint="eastAsia"/>
          <w:szCs w:val="21"/>
        </w:rPr>
        <w:t>新たな市場の獲得のためにも</w:t>
      </w:r>
      <w:r>
        <w:rPr>
          <w:rFonts w:asciiTheme="minorEastAsia" w:hAnsiTheme="minorEastAsia" w:hint="eastAsia"/>
          <w:szCs w:val="21"/>
        </w:rPr>
        <w:t>遺伝子組換え作物が消費者に受け入れられるように</w:t>
      </w:r>
      <w:r w:rsidR="00506ADC">
        <w:rPr>
          <w:rFonts w:asciiTheme="minorEastAsia" w:hAnsiTheme="minorEastAsia" w:hint="eastAsia"/>
          <w:szCs w:val="21"/>
        </w:rPr>
        <w:t>することを</w:t>
      </w:r>
      <w:r>
        <w:rPr>
          <w:rFonts w:asciiTheme="minorEastAsia" w:hAnsiTheme="minorEastAsia" w:hint="eastAsia"/>
          <w:szCs w:val="21"/>
        </w:rPr>
        <w:t>最優先しなくてはならない。それが</w:t>
      </w:r>
      <w:r w:rsidR="0069120F">
        <w:rPr>
          <w:rFonts w:asciiTheme="minorEastAsia" w:hAnsiTheme="minorEastAsia" w:hint="eastAsia"/>
          <w:szCs w:val="21"/>
        </w:rPr>
        <w:t>遺伝子組み明け作物による</w:t>
      </w:r>
      <w:r>
        <w:rPr>
          <w:rFonts w:asciiTheme="minorEastAsia" w:hAnsiTheme="minorEastAsia" w:hint="eastAsia"/>
          <w:szCs w:val="21"/>
        </w:rPr>
        <w:t>食糧増産の態勢が整うことに</w:t>
      </w:r>
      <w:r w:rsidR="00D45FF7">
        <w:rPr>
          <w:rFonts w:asciiTheme="minorEastAsia" w:hAnsiTheme="minorEastAsia" w:hint="eastAsia"/>
          <w:szCs w:val="21"/>
        </w:rPr>
        <w:t>も</w:t>
      </w:r>
      <w:r>
        <w:rPr>
          <w:rFonts w:asciiTheme="minorEastAsia" w:hAnsiTheme="minorEastAsia" w:hint="eastAsia"/>
          <w:szCs w:val="21"/>
        </w:rPr>
        <w:t>つながるからである。</w:t>
      </w:r>
    </w:p>
    <w:p w14:paraId="05957A46" w14:textId="77777777" w:rsidR="005A262D" w:rsidRPr="00C47279" w:rsidRDefault="007C4ADC" w:rsidP="00996A48">
      <w:pPr>
        <w:rPr>
          <w:rFonts w:asciiTheme="minorEastAsia" w:hAnsiTheme="minorEastAsia"/>
          <w:szCs w:val="21"/>
        </w:rPr>
      </w:pPr>
      <w:r>
        <w:rPr>
          <w:rFonts w:asciiTheme="minorEastAsia" w:hAnsiTheme="minorEastAsia" w:hint="eastAsia"/>
          <w:szCs w:val="21"/>
        </w:rPr>
        <w:t xml:space="preserve">　</w:t>
      </w:r>
      <w:r w:rsidR="0069120F">
        <w:rPr>
          <w:rFonts w:asciiTheme="minorEastAsia" w:hAnsiTheme="minorEastAsia" w:hint="eastAsia"/>
          <w:szCs w:val="21"/>
        </w:rPr>
        <w:t>遺伝子組み換え作物が消費者に</w:t>
      </w:r>
      <w:r w:rsidR="00AC2D39">
        <w:rPr>
          <w:rFonts w:asciiTheme="minorEastAsia" w:hAnsiTheme="minorEastAsia" w:hint="eastAsia"/>
          <w:szCs w:val="21"/>
        </w:rPr>
        <w:t>受け入れられるように</w:t>
      </w:r>
      <w:r w:rsidR="00113B0F">
        <w:rPr>
          <w:rFonts w:asciiTheme="minorEastAsia" w:hAnsiTheme="minorEastAsia" w:hint="eastAsia"/>
          <w:szCs w:val="21"/>
        </w:rPr>
        <w:t>するための</w:t>
      </w:r>
      <w:r w:rsidR="009B7D56">
        <w:rPr>
          <w:rFonts w:asciiTheme="minorEastAsia" w:hAnsiTheme="minorEastAsia" w:hint="eastAsia"/>
          <w:szCs w:val="21"/>
        </w:rPr>
        <w:t>普及事業としては中国での実例がある。2013年10月19日に中国の華中農業大学において遺伝子組換え米の賞味キャンペーンが行われた。中国では遺伝子組換え作物が既に栽培されているもののワタが中心であり、</w:t>
      </w:r>
      <w:r w:rsidR="00113B0F">
        <w:rPr>
          <w:rFonts w:asciiTheme="minorEastAsia" w:hAnsiTheme="minorEastAsia" w:hint="eastAsia"/>
          <w:szCs w:val="21"/>
        </w:rPr>
        <w:t>米</w:t>
      </w:r>
      <w:r w:rsidR="009B7D56">
        <w:rPr>
          <w:rFonts w:asciiTheme="minorEastAsia" w:hAnsiTheme="minorEastAsia" w:hint="eastAsia"/>
          <w:szCs w:val="21"/>
        </w:rPr>
        <w:t>については商業栽培が許可されていない</w:t>
      </w:r>
      <w:r w:rsidR="00113B0F">
        <w:rPr>
          <w:rFonts w:asciiTheme="minorEastAsia" w:hAnsiTheme="minorEastAsia" w:hint="eastAsia"/>
          <w:szCs w:val="21"/>
        </w:rPr>
        <w:t>。そのためボランティアを対象に</w:t>
      </w:r>
    </w:p>
    <w:p w14:paraId="528080BB" w14:textId="77777777" w:rsidR="005A262D" w:rsidRDefault="00113B0F">
      <w:pPr>
        <w:rPr>
          <w:rFonts w:asciiTheme="minorEastAsia" w:hAnsiTheme="minorEastAsia"/>
          <w:szCs w:val="21"/>
        </w:rPr>
      </w:pPr>
      <w:r>
        <w:rPr>
          <w:rFonts w:asciiTheme="minorEastAsia" w:hAnsiTheme="minorEastAsia" w:hint="eastAsia"/>
          <w:szCs w:val="21"/>
        </w:rPr>
        <w:t>遺伝子組換え稲で作られた様々な食品の賞味をするキャンペーンが行われた。これは遺伝子組換え作物に対する不安を払しょくするための試みである。</w:t>
      </w:r>
      <w:r>
        <w:rPr>
          <w:rStyle w:val="a9"/>
          <w:rFonts w:asciiTheme="minorEastAsia" w:hAnsiTheme="minorEastAsia"/>
          <w:szCs w:val="21"/>
        </w:rPr>
        <w:footnoteReference w:id="17"/>
      </w:r>
    </w:p>
    <w:p w14:paraId="26D773B5" w14:textId="77777777" w:rsidR="00113B0F" w:rsidRDefault="00113B0F">
      <w:pPr>
        <w:rPr>
          <w:rFonts w:asciiTheme="minorEastAsia" w:hAnsiTheme="minorEastAsia"/>
          <w:szCs w:val="21"/>
        </w:rPr>
      </w:pPr>
      <w:r>
        <w:rPr>
          <w:rFonts w:asciiTheme="minorEastAsia" w:hAnsiTheme="minorEastAsia" w:hint="eastAsia"/>
          <w:szCs w:val="21"/>
        </w:rPr>
        <w:t xml:space="preserve">　このよう</w:t>
      </w:r>
      <w:r w:rsidR="00CF22E9">
        <w:rPr>
          <w:rFonts w:asciiTheme="minorEastAsia" w:hAnsiTheme="minorEastAsia" w:hint="eastAsia"/>
          <w:szCs w:val="21"/>
        </w:rPr>
        <w:t>な</w:t>
      </w:r>
      <w:r w:rsidR="008B4547">
        <w:rPr>
          <w:rFonts w:asciiTheme="minorEastAsia" w:hAnsiTheme="minorEastAsia" w:hint="eastAsia"/>
          <w:szCs w:val="21"/>
        </w:rPr>
        <w:t>キャンペーンを地道にすることで</w:t>
      </w:r>
      <w:r>
        <w:rPr>
          <w:rFonts w:asciiTheme="minorEastAsia" w:hAnsiTheme="minorEastAsia" w:hint="eastAsia"/>
          <w:szCs w:val="21"/>
        </w:rPr>
        <w:t>遺伝子組換え作物</w:t>
      </w:r>
      <w:r w:rsidR="008B4547">
        <w:rPr>
          <w:rFonts w:asciiTheme="minorEastAsia" w:hAnsiTheme="minorEastAsia" w:hint="eastAsia"/>
          <w:szCs w:val="21"/>
        </w:rPr>
        <w:t>の不安を取り除こうとする方法も存在する。しかしこのような方法</w:t>
      </w:r>
      <w:r w:rsidR="00CF22E9">
        <w:rPr>
          <w:rFonts w:asciiTheme="minorEastAsia" w:hAnsiTheme="minorEastAsia" w:hint="eastAsia"/>
          <w:szCs w:val="21"/>
        </w:rPr>
        <w:t>だけ</w:t>
      </w:r>
      <w:r w:rsidR="008B4547">
        <w:rPr>
          <w:rFonts w:asciiTheme="minorEastAsia" w:hAnsiTheme="minorEastAsia" w:hint="eastAsia"/>
          <w:szCs w:val="21"/>
        </w:rPr>
        <w:t>では新たな市場を開拓するだけの不安の払しょくは難しいだろう。そのため中国だけでなくEUや日本、米国においてこの方法</w:t>
      </w:r>
      <w:r w:rsidR="00F775C5">
        <w:rPr>
          <w:rFonts w:asciiTheme="minorEastAsia" w:hAnsiTheme="minorEastAsia" w:hint="eastAsia"/>
          <w:szCs w:val="21"/>
        </w:rPr>
        <w:t>だけ</w:t>
      </w:r>
      <w:r w:rsidR="008B4547">
        <w:rPr>
          <w:rFonts w:asciiTheme="minorEastAsia" w:hAnsiTheme="minorEastAsia" w:hint="eastAsia"/>
          <w:szCs w:val="21"/>
        </w:rPr>
        <w:t>では普及は厳しいと考えられる。</w:t>
      </w:r>
    </w:p>
    <w:p w14:paraId="327E9E34" w14:textId="77777777" w:rsidR="00CF22E9" w:rsidRDefault="00CF22E9" w:rsidP="00CF22E9">
      <w:pPr>
        <w:rPr>
          <w:rFonts w:asciiTheme="minorEastAsia" w:hAnsiTheme="minorEastAsia"/>
          <w:szCs w:val="21"/>
        </w:rPr>
      </w:pPr>
      <w:r>
        <w:rPr>
          <w:rFonts w:asciiTheme="minorEastAsia" w:hAnsiTheme="minorEastAsia" w:hint="eastAsia"/>
          <w:szCs w:val="21"/>
        </w:rPr>
        <w:t xml:space="preserve">　そこで現在必要なことは</w:t>
      </w:r>
      <w:r w:rsidR="00F775C5">
        <w:rPr>
          <w:rFonts w:asciiTheme="minorEastAsia" w:hAnsiTheme="minorEastAsia" w:hint="eastAsia"/>
          <w:szCs w:val="21"/>
        </w:rPr>
        <w:t>本文中にもあるように</w:t>
      </w:r>
      <w:r>
        <w:rPr>
          <w:rFonts w:asciiTheme="minorEastAsia" w:hAnsiTheme="minorEastAsia" w:hint="eastAsia"/>
          <w:szCs w:val="21"/>
        </w:rPr>
        <w:t>遺伝子組換え作物に消費者目線での付加価値をつけていくこと</w:t>
      </w:r>
      <w:r w:rsidR="00F775C5">
        <w:rPr>
          <w:rFonts w:asciiTheme="minorEastAsia" w:hAnsiTheme="minorEastAsia" w:hint="eastAsia"/>
          <w:szCs w:val="21"/>
        </w:rPr>
        <w:t>である</w:t>
      </w:r>
      <w:r>
        <w:rPr>
          <w:rFonts w:asciiTheme="minorEastAsia" w:hAnsiTheme="minorEastAsia" w:hint="eastAsia"/>
          <w:szCs w:val="21"/>
        </w:rPr>
        <w:t>。消費者にとって</w:t>
      </w:r>
      <w:r w:rsidR="00F775C5">
        <w:rPr>
          <w:rFonts w:asciiTheme="minorEastAsia" w:hAnsiTheme="minorEastAsia" w:hint="eastAsia"/>
          <w:szCs w:val="21"/>
        </w:rPr>
        <w:t>魅力的な利点が遺伝子組換え作物にあり、従来のように避けるのではなく積極的に遺伝子組換え作物を手に取るようになったとき、初めて不安が完全に取り除かれたと言える。</w:t>
      </w:r>
      <w:r w:rsidR="00C17DAE">
        <w:rPr>
          <w:rFonts w:asciiTheme="minorEastAsia" w:hAnsiTheme="minorEastAsia" w:hint="eastAsia"/>
          <w:szCs w:val="21"/>
        </w:rPr>
        <w:t>消費者目線の付加価値が付属された商品と言えるビタミンＡが強化された「ゴールデンライス」はフィリピンで2016年に発売されるという。そのような従来の性質を超える新たな遺伝子組換え作物が今後続々と登場すればそれが消費者の不安を取り除き、同時に遺伝子組換え作物の食糧増産を一歩先のステージに導くことになるだろう。</w:t>
      </w:r>
    </w:p>
    <w:p w14:paraId="3E87F440" w14:textId="77777777" w:rsidR="00946C8B" w:rsidRPr="00146670" w:rsidRDefault="00CF22E9">
      <w:pPr>
        <w:rPr>
          <w:rFonts w:asciiTheme="minorEastAsia" w:hAnsiTheme="minorEastAsia"/>
          <w:szCs w:val="21"/>
        </w:rPr>
      </w:pPr>
      <w:r>
        <w:rPr>
          <w:rFonts w:asciiTheme="minorEastAsia" w:hAnsiTheme="minorEastAsia" w:hint="eastAsia"/>
          <w:szCs w:val="21"/>
        </w:rPr>
        <w:t xml:space="preserve">　</w:t>
      </w:r>
    </w:p>
    <w:sectPr w:rsidR="00946C8B" w:rsidRPr="00146670" w:rsidSect="00A25401">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9F6F" w14:textId="77777777" w:rsidR="00187F0B" w:rsidRDefault="00187F0B" w:rsidP="00A5442E">
      <w:r>
        <w:separator/>
      </w:r>
    </w:p>
  </w:endnote>
  <w:endnote w:type="continuationSeparator" w:id="0">
    <w:p w14:paraId="17C2F588" w14:textId="77777777" w:rsidR="00187F0B" w:rsidRDefault="00187F0B" w:rsidP="00A5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80000281" w:usb1="28C76CF8" w:usb2="00000010" w:usb3="00000000" w:csb0="00020000" w:csb1="00000000"/>
  </w:font>
  <w:font w:name="HGPｺﾞｼｯｸE">
    <w:panose1 w:val="020B0900000000000000"/>
    <w:charset w:val="4E"/>
    <w:family w:val="auto"/>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UI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0383"/>
      <w:docPartObj>
        <w:docPartGallery w:val="Page Numbers (Bottom of Page)"/>
        <w:docPartUnique/>
      </w:docPartObj>
    </w:sdtPr>
    <w:sdtEndPr/>
    <w:sdtContent>
      <w:p w14:paraId="0F26F98E" w14:textId="77777777" w:rsidR="00187F0B" w:rsidRDefault="00187F0B" w:rsidP="00215687">
        <w:pPr>
          <w:pStyle w:val="a5"/>
          <w:jc w:val="center"/>
        </w:pPr>
        <w:r>
          <w:fldChar w:fldCharType="begin"/>
        </w:r>
        <w:r>
          <w:instrText xml:space="preserve"> PAGE   \* MERGEFORMAT </w:instrText>
        </w:r>
        <w:r>
          <w:fldChar w:fldCharType="separate"/>
        </w:r>
        <w:r w:rsidR="00C77F46" w:rsidRPr="00C77F46">
          <w:rPr>
            <w:noProof/>
            <w:lang w:val="ja-JP"/>
          </w:rPr>
          <w:t>2</w:t>
        </w:r>
        <w:r>
          <w:rPr>
            <w:noProof/>
            <w:lang w:val="ja-JP"/>
          </w:rPr>
          <w:fldChar w:fldCharType="end"/>
        </w:r>
      </w:p>
    </w:sdtContent>
  </w:sdt>
  <w:p w14:paraId="654083B1" w14:textId="77777777" w:rsidR="00187F0B" w:rsidRDefault="00187F0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60DD6" w14:textId="77777777" w:rsidR="00187F0B" w:rsidRDefault="00187F0B" w:rsidP="00A5442E">
      <w:r>
        <w:separator/>
      </w:r>
    </w:p>
  </w:footnote>
  <w:footnote w:type="continuationSeparator" w:id="0">
    <w:p w14:paraId="61BDF80C" w14:textId="77777777" w:rsidR="00187F0B" w:rsidRDefault="00187F0B" w:rsidP="00A5442E">
      <w:r>
        <w:continuationSeparator/>
      </w:r>
    </w:p>
  </w:footnote>
  <w:footnote w:id="1">
    <w:p w14:paraId="447D0F78" w14:textId="77777777" w:rsidR="00187F0B" w:rsidRDefault="00187F0B" w:rsidP="005573C4">
      <w:pPr>
        <w:pStyle w:val="a7"/>
      </w:pPr>
      <w:r>
        <w:rPr>
          <w:rStyle w:val="a9"/>
        </w:rPr>
        <w:footnoteRef/>
      </w:r>
      <w:r>
        <w:t xml:space="preserve"> </w:t>
      </w:r>
      <w:r>
        <w:rPr>
          <w:rFonts w:hint="eastAsia"/>
        </w:rPr>
        <w:t>統計局ホームページ　世界の統計</w:t>
      </w:r>
      <w:r>
        <w:rPr>
          <w:rFonts w:hint="eastAsia"/>
        </w:rPr>
        <w:t>2013</w:t>
      </w:r>
      <w:r>
        <w:rPr>
          <w:rFonts w:hint="eastAsia"/>
        </w:rPr>
        <w:t xml:space="preserve">　</w:t>
      </w:r>
      <w:r w:rsidRPr="00592FD5">
        <w:rPr>
          <w:rFonts w:hint="eastAsia"/>
        </w:rPr>
        <w:t xml:space="preserve"> 2-1</w:t>
      </w:r>
      <w:r w:rsidRPr="00592FD5">
        <w:rPr>
          <w:rFonts w:hint="eastAsia"/>
        </w:rPr>
        <w:t xml:space="preserve">　世界人口の推移（</w:t>
      </w:r>
      <w:r w:rsidRPr="00592FD5">
        <w:rPr>
          <w:rFonts w:hint="eastAsia"/>
        </w:rPr>
        <w:t>1950</w:t>
      </w:r>
      <w:r w:rsidRPr="00592FD5">
        <w:rPr>
          <w:rFonts w:hint="eastAsia"/>
        </w:rPr>
        <w:t>～</w:t>
      </w:r>
      <w:r w:rsidRPr="00592FD5">
        <w:rPr>
          <w:rFonts w:hint="eastAsia"/>
        </w:rPr>
        <w:t>2050</w:t>
      </w:r>
      <w:r w:rsidRPr="00592FD5">
        <w:rPr>
          <w:rFonts w:hint="eastAsia"/>
        </w:rPr>
        <w:t>年）</w:t>
      </w:r>
    </w:p>
    <w:p w14:paraId="0CC7485C" w14:textId="77777777" w:rsidR="00187F0B" w:rsidRDefault="00187F0B" w:rsidP="005573C4">
      <w:pPr>
        <w:pStyle w:val="a7"/>
      </w:pPr>
      <w:r w:rsidRPr="00592FD5">
        <w:t>http://www.stat.go.jp/data/sekai/0116.htm</w:t>
      </w:r>
    </w:p>
  </w:footnote>
  <w:footnote w:id="2">
    <w:p w14:paraId="542FBC20" w14:textId="77777777" w:rsidR="00187F0B" w:rsidRDefault="00187F0B" w:rsidP="00E04065">
      <w:pPr>
        <w:pStyle w:val="a7"/>
      </w:pPr>
      <w:r>
        <w:rPr>
          <w:rStyle w:val="a9"/>
        </w:rPr>
        <w:footnoteRef/>
      </w:r>
      <w:r>
        <w:rPr>
          <w:rFonts w:hint="eastAsia"/>
        </w:rPr>
        <w:t>World</w:t>
      </w:r>
      <w:r>
        <w:rPr>
          <w:rFonts w:hint="eastAsia"/>
        </w:rPr>
        <w:t xml:space="preserve">　</w:t>
      </w:r>
      <w:r>
        <w:rPr>
          <w:rFonts w:hint="eastAsia"/>
        </w:rPr>
        <w:t>Food</w:t>
      </w:r>
      <w:r>
        <w:rPr>
          <w:rFonts w:hint="eastAsia"/>
        </w:rPr>
        <w:t xml:space="preserve">　</w:t>
      </w:r>
      <w:proofErr w:type="spellStart"/>
      <w:r>
        <w:rPr>
          <w:rFonts w:hint="eastAsia"/>
        </w:rPr>
        <w:t>Programme</w:t>
      </w:r>
      <w:proofErr w:type="spellEnd"/>
      <w:r>
        <w:rPr>
          <w:rFonts w:hint="eastAsia"/>
        </w:rPr>
        <w:t xml:space="preserve">　飢餓について（</w:t>
      </w:r>
      <w:r>
        <w:rPr>
          <w:rFonts w:hint="eastAsia"/>
        </w:rPr>
        <w:t>2013</w:t>
      </w:r>
      <w:r>
        <w:rPr>
          <w:rFonts w:hint="eastAsia"/>
        </w:rPr>
        <w:t>年</w:t>
      </w:r>
      <w:r>
        <w:rPr>
          <w:rFonts w:hint="eastAsia"/>
        </w:rPr>
        <w:t>11</w:t>
      </w:r>
      <w:r>
        <w:rPr>
          <w:rFonts w:hint="eastAsia"/>
        </w:rPr>
        <w:t>月</w:t>
      </w:r>
      <w:r>
        <w:rPr>
          <w:rFonts w:hint="eastAsia"/>
        </w:rPr>
        <w:t>7</w:t>
      </w:r>
      <w:r>
        <w:rPr>
          <w:rFonts w:hint="eastAsia"/>
        </w:rPr>
        <w:t>日）</w:t>
      </w:r>
    </w:p>
    <w:p w14:paraId="4650F523" w14:textId="77777777" w:rsidR="00187F0B" w:rsidRPr="00316DCE" w:rsidRDefault="00187F0B" w:rsidP="00E04065">
      <w:pPr>
        <w:pStyle w:val="a7"/>
      </w:pPr>
      <w:r>
        <w:t xml:space="preserve"> </w:t>
      </w:r>
      <w:r w:rsidRPr="00316DCE">
        <w:t>http://ja.wfp.org/hunger-jp/stats</w:t>
      </w:r>
    </w:p>
  </w:footnote>
  <w:footnote w:id="3">
    <w:p w14:paraId="2AD90D91" w14:textId="77777777" w:rsidR="00187F0B" w:rsidRDefault="00187F0B" w:rsidP="009B197A">
      <w:pPr>
        <w:pStyle w:val="a7"/>
        <w:rPr>
          <w:rFonts w:asciiTheme="minorEastAsia" w:hAnsiTheme="minorEastAsia"/>
        </w:rPr>
      </w:pPr>
      <w:r>
        <w:rPr>
          <w:rStyle w:val="a9"/>
        </w:rPr>
        <w:footnoteRef/>
      </w:r>
      <w:r>
        <w:t xml:space="preserve"> </w:t>
      </w:r>
      <w:r>
        <w:rPr>
          <w:rFonts w:hint="eastAsia"/>
        </w:rPr>
        <w:t xml:space="preserve">「本来農業への道」　</w:t>
      </w:r>
      <w:hyperlink r:id="rId1" w:history="1">
        <w:r w:rsidRPr="009B197A">
          <w:rPr>
            <w:rStyle w:val="aa"/>
            <w:rFonts w:asciiTheme="minorEastAsia" w:hAnsiTheme="minorEastAsia"/>
            <w:color w:val="auto"/>
            <w:u w:val="none"/>
          </w:rPr>
          <w:t>第5章：20世紀半ば以降の農業</w:t>
        </w:r>
      </w:hyperlink>
      <w:hyperlink r:id="rId2" w:history="1">
        <w:r w:rsidRPr="009B197A">
          <w:rPr>
            <w:rStyle w:val="aa"/>
            <w:rFonts w:asciiTheme="minorEastAsia" w:hAnsiTheme="minorEastAsia"/>
            <w:color w:val="auto"/>
            <w:u w:val="none"/>
          </w:rPr>
          <w:t>―</w:t>
        </w:r>
      </w:hyperlink>
      <w:hyperlink r:id="rId3" w:history="1">
        <w:r w:rsidRPr="009B197A">
          <w:rPr>
            <w:rStyle w:val="aa"/>
            <w:rFonts w:asciiTheme="minorEastAsia" w:hAnsiTheme="minorEastAsia"/>
            <w:color w:val="auto"/>
            <w:u w:val="none"/>
          </w:rPr>
          <w:t>データに見る光と影</w:t>
        </w:r>
      </w:hyperlink>
      <w:r>
        <w:rPr>
          <w:rFonts w:asciiTheme="minorEastAsia" w:hAnsiTheme="minorEastAsia" w:hint="eastAsia"/>
        </w:rPr>
        <w:t xml:space="preserve">　著：持続可能な農業に関する調査委員会</w:t>
      </w:r>
    </w:p>
    <w:p w14:paraId="63EA42F3" w14:textId="77777777" w:rsidR="00187F0B" w:rsidRPr="0056522C" w:rsidRDefault="00187F0B" w:rsidP="009B197A">
      <w:pPr>
        <w:pStyle w:val="a7"/>
      </w:pPr>
      <w:r w:rsidRPr="0056522C">
        <w:t>http://www.sas2007.jp/project/pdf/pdf08.pdf</w:t>
      </w:r>
    </w:p>
  </w:footnote>
  <w:footnote w:id="4">
    <w:p w14:paraId="2D1744DD" w14:textId="77777777" w:rsidR="00187F0B" w:rsidRDefault="00187F0B" w:rsidP="009B197A">
      <w:pPr>
        <w:pStyle w:val="a7"/>
      </w:pPr>
      <w:r>
        <w:rPr>
          <w:rStyle w:val="a9"/>
        </w:rPr>
        <w:footnoteRef/>
      </w:r>
      <w:r>
        <w:t xml:space="preserve"> </w:t>
      </w:r>
      <w:r>
        <w:rPr>
          <w:rFonts w:hint="eastAsia"/>
        </w:rPr>
        <w:t>世界の農業：集約的生産から「大きくシフトする」必要があるー</w:t>
      </w:r>
      <w:r>
        <w:rPr>
          <w:rFonts w:hint="eastAsia"/>
        </w:rPr>
        <w:t>FAO</w:t>
      </w:r>
      <w:r>
        <w:rPr>
          <w:rFonts w:hint="eastAsia"/>
        </w:rPr>
        <w:t>（</w:t>
      </w:r>
      <w:r>
        <w:rPr>
          <w:rFonts w:hint="eastAsia"/>
        </w:rPr>
        <w:t>2013</w:t>
      </w:r>
      <w:r>
        <w:rPr>
          <w:rFonts w:hint="eastAsia"/>
        </w:rPr>
        <w:t>年</w:t>
      </w:r>
      <w:r>
        <w:rPr>
          <w:rFonts w:hint="eastAsia"/>
        </w:rPr>
        <w:t>11</w:t>
      </w:r>
      <w:r>
        <w:rPr>
          <w:rFonts w:hint="eastAsia"/>
        </w:rPr>
        <w:t>月</w:t>
      </w:r>
      <w:r>
        <w:rPr>
          <w:rFonts w:hint="eastAsia"/>
        </w:rPr>
        <w:t>20</w:t>
      </w:r>
      <w:r>
        <w:rPr>
          <w:rFonts w:hint="eastAsia"/>
        </w:rPr>
        <w:t>日）</w:t>
      </w:r>
    </w:p>
    <w:p w14:paraId="70B98AEE" w14:textId="77777777" w:rsidR="00187F0B" w:rsidRPr="00B40BD3" w:rsidRDefault="00187F0B" w:rsidP="009B197A">
      <w:pPr>
        <w:pStyle w:val="a7"/>
      </w:pPr>
      <w:r w:rsidRPr="00B40BD3">
        <w:t>http://www.bloomberg.co.jp/news/123-LMR45Q1A1I4H01.html</w:t>
      </w:r>
    </w:p>
  </w:footnote>
  <w:footnote w:id="5">
    <w:p w14:paraId="419AAE45" w14:textId="77777777" w:rsidR="00187F0B" w:rsidRPr="00AD5E83" w:rsidRDefault="00187F0B" w:rsidP="00AC7DFA">
      <w:pPr>
        <w:pStyle w:val="a7"/>
      </w:pPr>
      <w:r>
        <w:rPr>
          <w:rStyle w:val="a9"/>
        </w:rPr>
        <w:footnoteRef/>
      </w:r>
      <w:r>
        <w:t xml:space="preserve"> </w:t>
      </w:r>
      <w:r>
        <w:rPr>
          <w:rFonts w:hint="eastAsia"/>
        </w:rPr>
        <w:t>ISAAA</w:t>
      </w:r>
      <w:r>
        <w:rPr>
          <w:rFonts w:hint="eastAsia"/>
        </w:rPr>
        <w:t xml:space="preserve">　『ハイライト　世界の遺伝子組み換え作物の商業栽培に関する状況』　著クライブ・ジェームズ</w:t>
      </w:r>
    </w:p>
  </w:footnote>
  <w:footnote w:id="6">
    <w:p w14:paraId="661C6E3F" w14:textId="77777777" w:rsidR="00187F0B" w:rsidRPr="009A2E09" w:rsidRDefault="00187F0B">
      <w:pPr>
        <w:pStyle w:val="a7"/>
      </w:pPr>
      <w:r>
        <w:rPr>
          <w:rStyle w:val="a9"/>
        </w:rPr>
        <w:footnoteRef/>
      </w:r>
      <w:r>
        <w:t xml:space="preserve"> </w:t>
      </w:r>
      <w:r>
        <w:rPr>
          <w:rFonts w:hint="eastAsia"/>
        </w:rPr>
        <w:t>ISAAA</w:t>
      </w:r>
      <w:r>
        <w:rPr>
          <w:rFonts w:hint="eastAsia"/>
        </w:rPr>
        <w:t xml:space="preserve">　『報告エグゼクティブサマリー　報告</w:t>
      </w:r>
      <w:r>
        <w:rPr>
          <w:rFonts w:hint="eastAsia"/>
        </w:rPr>
        <w:t>43</w:t>
      </w:r>
      <w:r>
        <w:rPr>
          <w:rFonts w:hint="eastAsia"/>
        </w:rPr>
        <w:t xml:space="preserve">　世界の遺伝子組換え作物の商業栽培に関する状況：</w:t>
      </w:r>
      <w:r>
        <w:rPr>
          <w:rFonts w:hint="eastAsia"/>
        </w:rPr>
        <w:t>2011</w:t>
      </w:r>
      <w:r>
        <w:rPr>
          <w:rFonts w:hint="eastAsia"/>
        </w:rPr>
        <w:t>年』　著クライブ・ジェームズ</w:t>
      </w:r>
    </w:p>
  </w:footnote>
  <w:footnote w:id="7">
    <w:p w14:paraId="6BBE5747" w14:textId="77777777" w:rsidR="00187F0B" w:rsidRPr="00947A38" w:rsidRDefault="00187F0B" w:rsidP="00947A38">
      <w:pPr>
        <w:autoSpaceDE w:val="0"/>
        <w:autoSpaceDN w:val="0"/>
        <w:adjustRightInd w:val="0"/>
        <w:rPr>
          <w:rFonts w:ascii="MSMincho" w:eastAsia="MSMincho" w:hAnsi="Times New Roman" w:cs="MSMincho"/>
          <w:kern w:val="0"/>
          <w:sz w:val="20"/>
          <w:szCs w:val="20"/>
        </w:rPr>
      </w:pPr>
      <w:r>
        <w:rPr>
          <w:rStyle w:val="a9"/>
        </w:rPr>
        <w:footnoteRef/>
      </w:r>
      <w:r>
        <w:t xml:space="preserve"> </w:t>
      </w:r>
      <w:r>
        <w:rPr>
          <w:rFonts w:hint="eastAsia"/>
        </w:rPr>
        <w:t>SAAA</w:t>
      </w:r>
      <w:r>
        <w:rPr>
          <w:rFonts w:hint="eastAsia"/>
        </w:rPr>
        <w:t xml:space="preserve">　『報告エグゼクティブサマリー　報告</w:t>
      </w:r>
      <w:r>
        <w:rPr>
          <w:rFonts w:hint="eastAsia"/>
        </w:rPr>
        <w:t>43</w:t>
      </w:r>
      <w:r>
        <w:rPr>
          <w:rFonts w:hint="eastAsia"/>
        </w:rPr>
        <w:t xml:space="preserve">　世界の遺伝子組換え作物の商業栽培に関する状況：</w:t>
      </w:r>
      <w:r>
        <w:rPr>
          <w:rFonts w:hint="eastAsia"/>
        </w:rPr>
        <w:t>2011</w:t>
      </w:r>
      <w:r>
        <w:rPr>
          <w:rFonts w:hint="eastAsia"/>
        </w:rPr>
        <w:t>年』　著クライブ・ジェームズ</w:t>
      </w:r>
    </w:p>
  </w:footnote>
  <w:footnote w:id="8">
    <w:p w14:paraId="00272A52" w14:textId="77777777" w:rsidR="00187F0B" w:rsidRDefault="00187F0B" w:rsidP="00F165D2">
      <w:pPr>
        <w:pStyle w:val="a7"/>
      </w:pPr>
      <w:r>
        <w:rPr>
          <w:rStyle w:val="a9"/>
        </w:rPr>
        <w:footnoteRef/>
      </w:r>
      <w:r>
        <w:rPr>
          <w:rFonts w:hint="eastAsia"/>
        </w:rPr>
        <w:t>独立行政法人農業環境技術研究所　農業と環境</w:t>
      </w:r>
      <w:r>
        <w:rPr>
          <w:rFonts w:hint="eastAsia"/>
        </w:rPr>
        <w:t>No,97</w:t>
      </w:r>
      <w:r>
        <w:rPr>
          <w:rFonts w:hint="eastAsia"/>
        </w:rPr>
        <w:t>『</w:t>
      </w:r>
      <w:r>
        <w:rPr>
          <w:rFonts w:hint="eastAsia"/>
        </w:rPr>
        <w:t>GMO</w:t>
      </w:r>
      <w:r>
        <w:rPr>
          <w:rFonts w:hint="eastAsia"/>
        </w:rPr>
        <w:t>情報：除草剤耐性品種でなぜ収量が増えるのか』　　（</w:t>
      </w:r>
      <w:r>
        <w:rPr>
          <w:rFonts w:hint="eastAsia"/>
        </w:rPr>
        <w:t>2013</w:t>
      </w:r>
      <w:r>
        <w:rPr>
          <w:rFonts w:hint="eastAsia"/>
        </w:rPr>
        <w:t>年</w:t>
      </w:r>
      <w:r>
        <w:rPr>
          <w:rFonts w:hint="eastAsia"/>
        </w:rPr>
        <w:t>12</w:t>
      </w:r>
      <w:r>
        <w:rPr>
          <w:rFonts w:hint="eastAsia"/>
        </w:rPr>
        <w:t>月</w:t>
      </w:r>
      <w:r>
        <w:rPr>
          <w:rFonts w:hint="eastAsia"/>
        </w:rPr>
        <w:t>02</w:t>
      </w:r>
      <w:r>
        <w:rPr>
          <w:rFonts w:hint="eastAsia"/>
        </w:rPr>
        <w:t>日アクセス）</w:t>
      </w:r>
    </w:p>
    <w:p w14:paraId="798F3213" w14:textId="77777777" w:rsidR="00187F0B" w:rsidRPr="002E516B" w:rsidRDefault="00187F0B" w:rsidP="00F165D2">
      <w:pPr>
        <w:pStyle w:val="a7"/>
      </w:pPr>
      <w:r w:rsidRPr="002E516B">
        <w:t>http://www.niaes.affrc.go.jp/magazine/097/mgzn09710.html</w:t>
      </w:r>
    </w:p>
  </w:footnote>
  <w:footnote w:id="9">
    <w:p w14:paraId="0580FC24" w14:textId="77777777" w:rsidR="00187F0B" w:rsidRPr="002E516B" w:rsidRDefault="00187F0B" w:rsidP="00436546">
      <w:pPr>
        <w:pStyle w:val="a7"/>
      </w:pPr>
      <w:r>
        <w:rPr>
          <w:rStyle w:val="a9"/>
        </w:rPr>
        <w:footnoteRef/>
      </w:r>
      <w:r>
        <w:rPr>
          <w:rFonts w:hint="eastAsia"/>
        </w:rPr>
        <w:t>独立行政法人農業環境技術研究所　農業と環境</w:t>
      </w:r>
      <w:r>
        <w:rPr>
          <w:rFonts w:hint="eastAsia"/>
        </w:rPr>
        <w:t>No,97</w:t>
      </w:r>
      <w:r>
        <w:rPr>
          <w:rFonts w:hint="eastAsia"/>
        </w:rPr>
        <w:t>『</w:t>
      </w:r>
      <w:r>
        <w:rPr>
          <w:rFonts w:hint="eastAsia"/>
        </w:rPr>
        <w:t>GMO</w:t>
      </w:r>
      <w:r>
        <w:rPr>
          <w:rFonts w:hint="eastAsia"/>
        </w:rPr>
        <w:t>情報：除草剤耐性品種でなぜ収量が増えるのか』　　（</w:t>
      </w:r>
      <w:r>
        <w:rPr>
          <w:rFonts w:hint="eastAsia"/>
        </w:rPr>
        <w:t>2013</w:t>
      </w:r>
      <w:r>
        <w:rPr>
          <w:rFonts w:hint="eastAsia"/>
        </w:rPr>
        <w:t>年</w:t>
      </w:r>
      <w:r>
        <w:rPr>
          <w:rFonts w:hint="eastAsia"/>
        </w:rPr>
        <w:t>12</w:t>
      </w:r>
      <w:r>
        <w:rPr>
          <w:rFonts w:hint="eastAsia"/>
        </w:rPr>
        <w:t>月</w:t>
      </w:r>
      <w:r>
        <w:rPr>
          <w:rFonts w:hint="eastAsia"/>
        </w:rPr>
        <w:t>02</w:t>
      </w:r>
      <w:r>
        <w:rPr>
          <w:rFonts w:hint="eastAsia"/>
        </w:rPr>
        <w:t>日アクセス）</w:t>
      </w:r>
    </w:p>
  </w:footnote>
  <w:footnote w:id="10">
    <w:p w14:paraId="0AB53949" w14:textId="77777777" w:rsidR="00254CF1" w:rsidRDefault="00254CF1" w:rsidP="00254CF1">
      <w:pPr>
        <w:pStyle w:val="a7"/>
      </w:pPr>
      <w:r>
        <w:rPr>
          <w:rStyle w:val="a9"/>
        </w:rPr>
        <w:footnoteRef/>
      </w:r>
      <w:r>
        <w:t xml:space="preserve"> </w:t>
      </w:r>
      <w:r>
        <w:rPr>
          <w:rFonts w:hint="eastAsia"/>
        </w:rPr>
        <w:t>ISAAA</w:t>
      </w:r>
      <w:r>
        <w:rPr>
          <w:rFonts w:hint="eastAsia"/>
        </w:rPr>
        <w:t>報告書　エグゼクティブサマリー　報告書</w:t>
      </w:r>
      <w:r>
        <w:rPr>
          <w:rFonts w:hint="eastAsia"/>
        </w:rPr>
        <w:t>43</w:t>
      </w:r>
      <w:r>
        <w:rPr>
          <w:rFonts w:hint="eastAsia"/>
        </w:rPr>
        <w:t xml:space="preserve">　世界の遺伝子組み換え作物の商業栽培に関する状況：</w:t>
      </w:r>
      <w:r>
        <w:rPr>
          <w:rFonts w:hint="eastAsia"/>
        </w:rPr>
        <w:t>2011</w:t>
      </w:r>
      <w:r>
        <w:rPr>
          <w:rFonts w:hint="eastAsia"/>
        </w:rPr>
        <w:t>年</w:t>
      </w:r>
    </w:p>
    <w:p w14:paraId="65635DF0" w14:textId="77777777" w:rsidR="00254CF1" w:rsidRDefault="00254CF1" w:rsidP="00254CF1">
      <w:pPr>
        <w:pStyle w:val="a7"/>
      </w:pPr>
      <w:r w:rsidRPr="006236B2">
        <w:t>http://www.isaaa.org/resources/publications/briefs/43/executivesummary/pdf/Brief%2043%20-%20Executive%20Summary%20-%20Japanese.pdf</w:t>
      </w:r>
    </w:p>
  </w:footnote>
  <w:footnote w:id="11">
    <w:p w14:paraId="4055AEE5" w14:textId="77777777" w:rsidR="00187F0B" w:rsidRDefault="00187F0B">
      <w:pPr>
        <w:pStyle w:val="a7"/>
      </w:pPr>
      <w:r>
        <w:rPr>
          <w:rStyle w:val="a9"/>
        </w:rPr>
        <w:footnoteRef/>
      </w:r>
      <w:r>
        <w:t xml:space="preserve"> </w:t>
      </w:r>
      <w:r>
        <w:rPr>
          <w:rFonts w:hint="eastAsia"/>
        </w:rPr>
        <w:t>欧州連合と遺伝子組み換え（</w:t>
      </w:r>
      <w:r>
        <w:rPr>
          <w:rFonts w:hint="eastAsia"/>
        </w:rPr>
        <w:t>GM</w:t>
      </w:r>
      <w:r>
        <w:rPr>
          <w:rFonts w:hint="eastAsia"/>
        </w:rPr>
        <w:t>）作物　著：</w:t>
      </w:r>
      <w:r>
        <w:rPr>
          <w:rFonts w:hint="eastAsia"/>
        </w:rPr>
        <w:t>Manuel</w:t>
      </w:r>
      <w:r>
        <w:rPr>
          <w:rFonts w:hint="eastAsia"/>
        </w:rPr>
        <w:t xml:space="preserve">　</w:t>
      </w:r>
      <w:r>
        <w:rPr>
          <w:rFonts w:hint="eastAsia"/>
        </w:rPr>
        <w:t>GOMEZ-BARBERO</w:t>
      </w:r>
    </w:p>
    <w:p w14:paraId="32235B69" w14:textId="77777777" w:rsidR="00187F0B" w:rsidRPr="00DB04E6" w:rsidRDefault="00187F0B">
      <w:pPr>
        <w:pStyle w:val="a7"/>
      </w:pPr>
      <w:r w:rsidRPr="00DB04E6">
        <w:t>http://www.cbijapan.com/siryou/DL/111202EUbio_seminar_handout.pdf</w:t>
      </w:r>
    </w:p>
  </w:footnote>
  <w:footnote w:id="12">
    <w:p w14:paraId="1176AB48" w14:textId="77777777" w:rsidR="00187F0B" w:rsidRDefault="00187F0B">
      <w:pPr>
        <w:pStyle w:val="a7"/>
      </w:pPr>
      <w:r>
        <w:rPr>
          <w:rStyle w:val="a9"/>
        </w:rPr>
        <w:footnoteRef/>
      </w:r>
      <w:r>
        <w:t xml:space="preserve"> </w:t>
      </w:r>
      <w:hyperlink r:id="rId4" w:history="1">
        <w:r w:rsidRPr="00D41F93">
          <w:rPr>
            <w:rStyle w:val="aa"/>
            <w:color w:val="auto"/>
            <w:u w:val="none"/>
          </w:rPr>
          <w:t>承認された遺伝子組換え農作物一覧（平成</w:t>
        </w:r>
        <w:r w:rsidRPr="00D41F93">
          <w:rPr>
            <w:rStyle w:val="aa"/>
            <w:color w:val="auto"/>
            <w:u w:val="none"/>
          </w:rPr>
          <w:t>25</w:t>
        </w:r>
        <w:r w:rsidRPr="00D41F93">
          <w:rPr>
            <w:rStyle w:val="aa"/>
            <w:color w:val="auto"/>
            <w:u w:val="none"/>
          </w:rPr>
          <w:t>年</w:t>
        </w:r>
        <w:r w:rsidRPr="00D41F93">
          <w:rPr>
            <w:rStyle w:val="aa"/>
            <w:color w:val="auto"/>
            <w:u w:val="none"/>
          </w:rPr>
          <w:t>10</w:t>
        </w:r>
        <w:r w:rsidRPr="00D41F93">
          <w:rPr>
            <w:rStyle w:val="aa"/>
            <w:color w:val="auto"/>
            <w:u w:val="none"/>
          </w:rPr>
          <w:t>月</w:t>
        </w:r>
        <w:r w:rsidRPr="00D41F93">
          <w:rPr>
            <w:rStyle w:val="aa"/>
            <w:color w:val="auto"/>
            <w:u w:val="none"/>
          </w:rPr>
          <w:t>31</w:t>
        </w:r>
        <w:r w:rsidRPr="00D41F93">
          <w:rPr>
            <w:rStyle w:val="aa"/>
            <w:color w:val="auto"/>
            <w:u w:val="none"/>
          </w:rPr>
          <w:t>日現在）</w:t>
        </w:r>
      </w:hyperlink>
    </w:p>
    <w:p w14:paraId="10959E5C" w14:textId="77777777" w:rsidR="00187F0B" w:rsidRPr="00D41F93" w:rsidRDefault="00187F0B">
      <w:pPr>
        <w:pStyle w:val="a7"/>
      </w:pPr>
      <w:r w:rsidRPr="00D41F93">
        <w:t>http://www.maff.go.jp/j/syouan/nouan/carta/c_list/pdf/list02_20131031.pdf</w:t>
      </w:r>
    </w:p>
  </w:footnote>
  <w:footnote w:id="13">
    <w:p w14:paraId="56E8E18C" w14:textId="77777777" w:rsidR="00187F0B" w:rsidRDefault="00187F0B" w:rsidP="00BE15AF">
      <w:pPr>
        <w:pStyle w:val="a7"/>
      </w:pPr>
      <w:r>
        <w:rPr>
          <w:rStyle w:val="a9"/>
        </w:rPr>
        <w:footnoteRef/>
      </w:r>
      <w:r>
        <w:rPr>
          <w:rFonts w:hint="eastAsia"/>
        </w:rPr>
        <w:t>英国科学誌</w:t>
      </w:r>
      <w:r w:rsidRPr="00D834D0">
        <w:t>Nature</w:t>
      </w:r>
      <w:r>
        <w:rPr>
          <w:rFonts w:hint="eastAsia"/>
        </w:rPr>
        <w:t>1999</w:t>
      </w:r>
      <w:r>
        <w:rPr>
          <w:rFonts w:hint="eastAsia"/>
        </w:rPr>
        <w:t>年</w:t>
      </w:r>
      <w:r>
        <w:rPr>
          <w:rFonts w:hint="eastAsia"/>
        </w:rPr>
        <w:t>5</w:t>
      </w:r>
      <w:r>
        <w:rPr>
          <w:rFonts w:hint="eastAsia"/>
        </w:rPr>
        <w:t>月</w:t>
      </w:r>
      <w:r>
        <w:rPr>
          <w:rFonts w:hint="eastAsia"/>
        </w:rPr>
        <w:t>20</w:t>
      </w:r>
      <w:r w:rsidRPr="00D834D0">
        <w:rPr>
          <w:rFonts w:hint="eastAsia"/>
        </w:rPr>
        <w:t>日号</w:t>
      </w:r>
    </w:p>
  </w:footnote>
  <w:footnote w:id="14">
    <w:p w14:paraId="3F21A58E" w14:textId="77777777" w:rsidR="00187F0B" w:rsidRPr="00FC6EF0" w:rsidRDefault="00187F0B" w:rsidP="00D17718">
      <w:pPr>
        <w:pStyle w:val="a7"/>
      </w:pPr>
      <w:r>
        <w:rPr>
          <w:rStyle w:val="a9"/>
        </w:rPr>
        <w:footnoteRef/>
      </w:r>
      <w:r>
        <w:rPr>
          <w:rFonts w:hint="eastAsia"/>
        </w:rPr>
        <w:t>日本応用動物昆虫学会誌　第</w:t>
      </w:r>
      <w:r>
        <w:rPr>
          <w:rFonts w:hint="eastAsia"/>
        </w:rPr>
        <w:t>51</w:t>
      </w:r>
      <w:r>
        <w:rPr>
          <w:rFonts w:hint="eastAsia"/>
        </w:rPr>
        <w:t>巻第</w:t>
      </w:r>
      <w:r>
        <w:rPr>
          <w:rFonts w:hint="eastAsia"/>
        </w:rPr>
        <w:t>3</w:t>
      </w:r>
      <w:r>
        <w:rPr>
          <w:rFonts w:hint="eastAsia"/>
        </w:rPr>
        <w:t>号：</w:t>
      </w:r>
      <w:r>
        <w:rPr>
          <w:rFonts w:hint="eastAsia"/>
        </w:rPr>
        <w:t>165</w:t>
      </w:r>
      <w:r>
        <w:rPr>
          <w:rFonts w:hint="eastAsia"/>
        </w:rPr>
        <w:t>－</w:t>
      </w:r>
      <w:r>
        <w:rPr>
          <w:rFonts w:hint="eastAsia"/>
        </w:rPr>
        <w:t>186</w:t>
      </w:r>
      <w:r>
        <w:rPr>
          <w:rFonts w:hint="eastAsia"/>
        </w:rPr>
        <w:t>（</w:t>
      </w:r>
      <w:r>
        <w:rPr>
          <w:rFonts w:hint="eastAsia"/>
        </w:rPr>
        <w:t>2007</w:t>
      </w:r>
      <w:r>
        <w:rPr>
          <w:rFonts w:hint="eastAsia"/>
        </w:rPr>
        <w:t xml:space="preserve">）　</w:t>
      </w:r>
      <w:r w:rsidRPr="00596F22">
        <w:t>"</w:t>
      </w:r>
      <w:r>
        <w:rPr>
          <w:rFonts w:hint="eastAsia"/>
        </w:rPr>
        <w:t>害虫抵抗遺伝子組み換え作物による非標的生物への影響　現在までの研究事例と今後の課題</w:t>
      </w:r>
      <w:r w:rsidRPr="00E321A5">
        <w:t>"</w:t>
      </w:r>
      <w:r>
        <w:rPr>
          <w:rFonts w:hint="eastAsia"/>
        </w:rPr>
        <w:t xml:space="preserve">　</w:t>
      </w:r>
      <w:r w:rsidRPr="00596F22">
        <w:rPr>
          <w:rFonts w:hint="eastAsia"/>
        </w:rPr>
        <w:t>白井洋一、独立行政法人</w:t>
      </w:r>
      <w:r w:rsidRPr="00596F22">
        <w:rPr>
          <w:rFonts w:hint="eastAsia"/>
        </w:rPr>
        <w:t xml:space="preserve"> </w:t>
      </w:r>
      <w:r w:rsidRPr="00596F22">
        <w:rPr>
          <w:rFonts w:hint="eastAsia"/>
        </w:rPr>
        <w:t>農業環境技術研究所</w:t>
      </w:r>
    </w:p>
  </w:footnote>
  <w:footnote w:id="15">
    <w:p w14:paraId="08D90F6E" w14:textId="77777777" w:rsidR="00187F0B" w:rsidRPr="00522640" w:rsidRDefault="00187F0B" w:rsidP="006B6AE3">
      <w:pPr>
        <w:pStyle w:val="a7"/>
      </w:pPr>
      <w:r>
        <w:rPr>
          <w:rStyle w:val="a9"/>
        </w:rPr>
        <w:footnoteRef/>
      </w:r>
      <w:r>
        <w:t xml:space="preserve"> N</w:t>
      </w:r>
      <w:r>
        <w:rPr>
          <w:rFonts w:hint="eastAsia"/>
        </w:rPr>
        <w:t>ature</w:t>
      </w:r>
      <w:r>
        <w:rPr>
          <w:rFonts w:hint="eastAsia"/>
        </w:rPr>
        <w:t xml:space="preserve">ダイジェスト　遺伝子組み換えの真実　</w:t>
      </w:r>
      <w:r>
        <w:rPr>
          <w:rFonts w:hint="eastAsia"/>
        </w:rPr>
        <w:t>2013</w:t>
      </w:r>
      <w:r>
        <w:rPr>
          <w:rFonts w:hint="eastAsia"/>
        </w:rPr>
        <w:t>年</w:t>
      </w:r>
      <w:r>
        <w:rPr>
          <w:rFonts w:hint="eastAsia"/>
        </w:rPr>
        <w:t>8</w:t>
      </w:r>
      <w:r>
        <w:rPr>
          <w:rFonts w:hint="eastAsia"/>
        </w:rPr>
        <w:t>月号　ライター</w:t>
      </w:r>
      <w:r>
        <w:rPr>
          <w:rFonts w:hint="eastAsia"/>
        </w:rPr>
        <w:t>Natasha</w:t>
      </w:r>
      <w:r>
        <w:rPr>
          <w:rFonts w:hint="eastAsia"/>
        </w:rPr>
        <w:t xml:space="preserve">　</w:t>
      </w:r>
      <w:r>
        <w:rPr>
          <w:rFonts w:hint="eastAsia"/>
        </w:rPr>
        <w:t>Gilbert</w:t>
      </w:r>
      <w:r>
        <w:rPr>
          <w:rFonts w:hint="eastAsia"/>
        </w:rPr>
        <w:t xml:space="preserve">　翻訳　三枝　小夜子</w:t>
      </w:r>
    </w:p>
  </w:footnote>
  <w:footnote w:id="16">
    <w:p w14:paraId="0A31B672" w14:textId="77777777" w:rsidR="00187F0B" w:rsidRDefault="00187F0B" w:rsidP="000C27FC">
      <w:pPr>
        <w:pStyle w:val="a7"/>
      </w:pPr>
      <w:r>
        <w:rPr>
          <w:rStyle w:val="a9"/>
        </w:rPr>
        <w:footnoteRef/>
      </w:r>
      <w:r>
        <w:rPr>
          <w:rFonts w:hint="eastAsia"/>
        </w:rPr>
        <w:t>生物多様性影響評価検討会議次第　資料</w:t>
      </w:r>
      <w:r>
        <w:rPr>
          <w:rFonts w:hint="eastAsia"/>
        </w:rPr>
        <w:t>2</w:t>
      </w:r>
      <w:r>
        <w:rPr>
          <w:rFonts w:hint="eastAsia"/>
        </w:rPr>
        <w:t>－</w:t>
      </w:r>
      <w:r>
        <w:rPr>
          <w:rFonts w:hint="eastAsia"/>
        </w:rPr>
        <w:t>2</w:t>
      </w:r>
      <w:r>
        <w:rPr>
          <w:rFonts w:hint="eastAsia"/>
        </w:rPr>
        <w:t xml:space="preserve">　生物多様性影響評価の概要　農林水産省　農林水産技術会議　</w:t>
      </w:r>
      <w:r>
        <w:rPr>
          <w:rFonts w:hint="eastAsia"/>
        </w:rPr>
        <w:t>25p2005</w:t>
      </w:r>
      <w:r>
        <w:rPr>
          <w:rFonts w:hint="eastAsia"/>
        </w:rPr>
        <w:t>年</w:t>
      </w:r>
      <w:r>
        <w:rPr>
          <w:rFonts w:hint="eastAsia"/>
        </w:rPr>
        <w:t>9</w:t>
      </w:r>
      <w:r>
        <w:rPr>
          <w:rFonts w:hint="eastAsia"/>
        </w:rPr>
        <w:t>月</w:t>
      </w:r>
      <w:r>
        <w:rPr>
          <w:rFonts w:hint="eastAsia"/>
        </w:rPr>
        <w:t>29</w:t>
      </w:r>
      <w:r>
        <w:rPr>
          <w:rFonts w:hint="eastAsia"/>
        </w:rPr>
        <w:t xml:space="preserve">日　</w:t>
      </w:r>
    </w:p>
    <w:p w14:paraId="3030F1D5" w14:textId="77777777" w:rsidR="00187F0B" w:rsidRPr="009537A5" w:rsidRDefault="00187F0B" w:rsidP="000C27FC">
      <w:pPr>
        <w:pStyle w:val="a7"/>
      </w:pPr>
      <w:r w:rsidRPr="002A0C8C">
        <w:t>http://www.s.affrc.go.jp/docs/commitee/diversity/050929/pdf/siryou2_2.pdf</w:t>
      </w:r>
    </w:p>
  </w:footnote>
  <w:footnote w:id="17">
    <w:p w14:paraId="60BA379E" w14:textId="77777777" w:rsidR="00187F0B" w:rsidRDefault="00187F0B">
      <w:pPr>
        <w:pStyle w:val="a7"/>
        <w:rPr>
          <w:bCs/>
        </w:rPr>
      </w:pPr>
      <w:r>
        <w:rPr>
          <w:rStyle w:val="a9"/>
        </w:rPr>
        <w:footnoteRef/>
      </w:r>
      <w:r w:rsidRPr="00113B0F">
        <w:rPr>
          <w:bCs/>
        </w:rPr>
        <w:t>中国　遺伝子組み換え米賞味キャンペーンが盛ん　国民の</w:t>
      </w:r>
      <w:r w:rsidRPr="00113B0F">
        <w:rPr>
          <w:bCs/>
        </w:rPr>
        <w:t>GM</w:t>
      </w:r>
      <w:r w:rsidRPr="00113B0F">
        <w:rPr>
          <w:bCs/>
        </w:rPr>
        <w:t>食品への懸念を一掃？</w:t>
      </w:r>
    </w:p>
    <w:p w14:paraId="62F48DED" w14:textId="77777777" w:rsidR="00187F0B" w:rsidRDefault="00187F0B">
      <w:pPr>
        <w:pStyle w:val="a7"/>
        <w:rPr>
          <w:bCs/>
        </w:rPr>
      </w:pPr>
      <w:r>
        <w:rPr>
          <w:rFonts w:hint="eastAsia"/>
          <w:bCs/>
        </w:rPr>
        <w:t>（</w:t>
      </w:r>
      <w:r>
        <w:rPr>
          <w:rFonts w:hint="eastAsia"/>
          <w:bCs/>
        </w:rPr>
        <w:t>2013</w:t>
      </w:r>
      <w:r>
        <w:rPr>
          <w:rFonts w:hint="eastAsia"/>
          <w:bCs/>
        </w:rPr>
        <w:t>年</w:t>
      </w:r>
      <w:r>
        <w:rPr>
          <w:rFonts w:hint="eastAsia"/>
          <w:bCs/>
        </w:rPr>
        <w:t>12</w:t>
      </w:r>
      <w:r>
        <w:rPr>
          <w:rFonts w:hint="eastAsia"/>
          <w:bCs/>
        </w:rPr>
        <w:t>月</w:t>
      </w:r>
      <w:r>
        <w:rPr>
          <w:rFonts w:hint="eastAsia"/>
          <w:bCs/>
        </w:rPr>
        <w:t>25</w:t>
      </w:r>
      <w:r>
        <w:rPr>
          <w:rFonts w:hint="eastAsia"/>
          <w:bCs/>
        </w:rPr>
        <w:t>日）</w:t>
      </w:r>
    </w:p>
    <w:p w14:paraId="5AF59BA8" w14:textId="77777777" w:rsidR="00187F0B" w:rsidRDefault="00187F0B">
      <w:pPr>
        <w:pStyle w:val="a7"/>
      </w:pPr>
      <w:r w:rsidRPr="008B4547">
        <w:t>http://www.juno.dti.ne.jp/~tkitaba/gmo/news/13102201.htm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3F58F" w14:textId="77777777" w:rsidR="00187F0B" w:rsidRDefault="00187F0B">
    <w:pPr>
      <w:pStyle w:val="a3"/>
    </w:pPr>
    <w:r>
      <w:rPr>
        <w:rFonts w:hint="eastAsia"/>
      </w:rPr>
      <w:t>2013</w:t>
    </w:r>
    <w:r>
      <w:rPr>
        <w:rFonts w:hint="eastAsia"/>
      </w:rPr>
      <w:t>年</w:t>
    </w:r>
    <w:r>
      <w:rPr>
        <w:rFonts w:hint="eastAsia"/>
      </w:rPr>
      <w:t>12</w:t>
    </w:r>
    <w:r>
      <w:rPr>
        <w:rFonts w:hint="eastAsia"/>
      </w:rPr>
      <w:t>月</w:t>
    </w:r>
    <w:r>
      <w:rPr>
        <w:rFonts w:hint="eastAsia"/>
      </w:rPr>
      <w:t>11</w:t>
    </w:r>
    <w:r>
      <w:rPr>
        <w:rFonts w:hint="eastAsia"/>
      </w:rPr>
      <w:t>日　山本　裕大</w:t>
    </w:r>
  </w:p>
  <w:p w14:paraId="52E0475D" w14:textId="77777777" w:rsidR="00187F0B" w:rsidRDefault="00187F0B">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1755"/>
    <w:multiLevelType w:val="hybridMultilevel"/>
    <w:tmpl w:val="9C02889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C646CD"/>
    <w:multiLevelType w:val="hybridMultilevel"/>
    <w:tmpl w:val="F58ED85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2E"/>
    <w:rsid w:val="00001A43"/>
    <w:rsid w:val="00063EBF"/>
    <w:rsid w:val="00070B0F"/>
    <w:rsid w:val="00071716"/>
    <w:rsid w:val="00074EDE"/>
    <w:rsid w:val="000751A3"/>
    <w:rsid w:val="00075E9E"/>
    <w:rsid w:val="00082E1E"/>
    <w:rsid w:val="00097911"/>
    <w:rsid w:val="000B0EBB"/>
    <w:rsid w:val="000C27FC"/>
    <w:rsid w:val="00102DCB"/>
    <w:rsid w:val="00113B0F"/>
    <w:rsid w:val="001416F5"/>
    <w:rsid w:val="00146670"/>
    <w:rsid w:val="00172518"/>
    <w:rsid w:val="00176536"/>
    <w:rsid w:val="00187F0B"/>
    <w:rsid w:val="001C0EDA"/>
    <w:rsid w:val="001C78B7"/>
    <w:rsid w:val="001E2C58"/>
    <w:rsid w:val="00215687"/>
    <w:rsid w:val="00215765"/>
    <w:rsid w:val="00241A1B"/>
    <w:rsid w:val="00254038"/>
    <w:rsid w:val="00254CF1"/>
    <w:rsid w:val="00273388"/>
    <w:rsid w:val="0028093D"/>
    <w:rsid w:val="00283F93"/>
    <w:rsid w:val="00287B14"/>
    <w:rsid w:val="00294B7F"/>
    <w:rsid w:val="002A4B71"/>
    <w:rsid w:val="002B6243"/>
    <w:rsid w:val="002D58B9"/>
    <w:rsid w:val="003055B2"/>
    <w:rsid w:val="003114CC"/>
    <w:rsid w:val="00323A3C"/>
    <w:rsid w:val="0034074B"/>
    <w:rsid w:val="003718B9"/>
    <w:rsid w:val="003D318B"/>
    <w:rsid w:val="004063A8"/>
    <w:rsid w:val="00420F7E"/>
    <w:rsid w:val="004317DB"/>
    <w:rsid w:val="00436546"/>
    <w:rsid w:val="00480B4A"/>
    <w:rsid w:val="004A38E5"/>
    <w:rsid w:val="004A7D9F"/>
    <w:rsid w:val="004B3844"/>
    <w:rsid w:val="004C54A0"/>
    <w:rsid w:val="00506ADC"/>
    <w:rsid w:val="00522AA0"/>
    <w:rsid w:val="005479C3"/>
    <w:rsid w:val="005573C4"/>
    <w:rsid w:val="00560934"/>
    <w:rsid w:val="00562C0E"/>
    <w:rsid w:val="0057226B"/>
    <w:rsid w:val="00573E6D"/>
    <w:rsid w:val="00586720"/>
    <w:rsid w:val="005A262D"/>
    <w:rsid w:val="005A2FB5"/>
    <w:rsid w:val="005A3BD8"/>
    <w:rsid w:val="005B489C"/>
    <w:rsid w:val="005C2C3E"/>
    <w:rsid w:val="005D59B8"/>
    <w:rsid w:val="005E0FE4"/>
    <w:rsid w:val="005E3DC9"/>
    <w:rsid w:val="005E7B20"/>
    <w:rsid w:val="00621C66"/>
    <w:rsid w:val="00660C33"/>
    <w:rsid w:val="0066331C"/>
    <w:rsid w:val="0066404A"/>
    <w:rsid w:val="006670B4"/>
    <w:rsid w:val="006722C3"/>
    <w:rsid w:val="0068006D"/>
    <w:rsid w:val="0069120F"/>
    <w:rsid w:val="00693221"/>
    <w:rsid w:val="006A6086"/>
    <w:rsid w:val="006B6AE3"/>
    <w:rsid w:val="006D23CC"/>
    <w:rsid w:val="006E3A38"/>
    <w:rsid w:val="006F3D44"/>
    <w:rsid w:val="00716AAF"/>
    <w:rsid w:val="00722575"/>
    <w:rsid w:val="00734ACF"/>
    <w:rsid w:val="007513CE"/>
    <w:rsid w:val="00761974"/>
    <w:rsid w:val="00784C14"/>
    <w:rsid w:val="0079251D"/>
    <w:rsid w:val="00797173"/>
    <w:rsid w:val="007A56C1"/>
    <w:rsid w:val="007B13B6"/>
    <w:rsid w:val="007C4ADC"/>
    <w:rsid w:val="007C59E8"/>
    <w:rsid w:val="007F1FCA"/>
    <w:rsid w:val="00804539"/>
    <w:rsid w:val="00836B87"/>
    <w:rsid w:val="00862AE8"/>
    <w:rsid w:val="008B4547"/>
    <w:rsid w:val="008C6611"/>
    <w:rsid w:val="008D7C26"/>
    <w:rsid w:val="008E49A4"/>
    <w:rsid w:val="00921A92"/>
    <w:rsid w:val="00926D6A"/>
    <w:rsid w:val="009339C7"/>
    <w:rsid w:val="00934497"/>
    <w:rsid w:val="00946C8B"/>
    <w:rsid w:val="00947A38"/>
    <w:rsid w:val="00994215"/>
    <w:rsid w:val="00996A48"/>
    <w:rsid w:val="00996A4E"/>
    <w:rsid w:val="009A2E09"/>
    <w:rsid w:val="009B197A"/>
    <w:rsid w:val="009B62B0"/>
    <w:rsid w:val="009B7D56"/>
    <w:rsid w:val="009C36B6"/>
    <w:rsid w:val="009D1745"/>
    <w:rsid w:val="00A00C22"/>
    <w:rsid w:val="00A25401"/>
    <w:rsid w:val="00A46AEA"/>
    <w:rsid w:val="00A5442E"/>
    <w:rsid w:val="00A766DD"/>
    <w:rsid w:val="00A907E0"/>
    <w:rsid w:val="00A95F32"/>
    <w:rsid w:val="00AA086B"/>
    <w:rsid w:val="00AC1BFE"/>
    <w:rsid w:val="00AC2D39"/>
    <w:rsid w:val="00AC7DFA"/>
    <w:rsid w:val="00AE10A9"/>
    <w:rsid w:val="00AE40B7"/>
    <w:rsid w:val="00B244D3"/>
    <w:rsid w:val="00B268A4"/>
    <w:rsid w:val="00B35AB5"/>
    <w:rsid w:val="00B418EF"/>
    <w:rsid w:val="00B503DB"/>
    <w:rsid w:val="00B63A3B"/>
    <w:rsid w:val="00BD1D4D"/>
    <w:rsid w:val="00BD4F3A"/>
    <w:rsid w:val="00BE15AF"/>
    <w:rsid w:val="00BF1FA8"/>
    <w:rsid w:val="00C0776A"/>
    <w:rsid w:val="00C106F4"/>
    <w:rsid w:val="00C17DAE"/>
    <w:rsid w:val="00C35580"/>
    <w:rsid w:val="00C47279"/>
    <w:rsid w:val="00C50E5B"/>
    <w:rsid w:val="00C72835"/>
    <w:rsid w:val="00C77F46"/>
    <w:rsid w:val="00C90CE6"/>
    <w:rsid w:val="00CF22E9"/>
    <w:rsid w:val="00CF267D"/>
    <w:rsid w:val="00D17718"/>
    <w:rsid w:val="00D212FE"/>
    <w:rsid w:val="00D25D26"/>
    <w:rsid w:val="00D3066C"/>
    <w:rsid w:val="00D32252"/>
    <w:rsid w:val="00D324CE"/>
    <w:rsid w:val="00D356C9"/>
    <w:rsid w:val="00D41F93"/>
    <w:rsid w:val="00D45FF7"/>
    <w:rsid w:val="00D54A00"/>
    <w:rsid w:val="00D608CE"/>
    <w:rsid w:val="00D641E0"/>
    <w:rsid w:val="00D71EC8"/>
    <w:rsid w:val="00D755FE"/>
    <w:rsid w:val="00DB04E6"/>
    <w:rsid w:val="00DD3D3B"/>
    <w:rsid w:val="00E02239"/>
    <w:rsid w:val="00E04065"/>
    <w:rsid w:val="00E157B1"/>
    <w:rsid w:val="00E235FC"/>
    <w:rsid w:val="00E26E04"/>
    <w:rsid w:val="00E6661C"/>
    <w:rsid w:val="00E96186"/>
    <w:rsid w:val="00E972D7"/>
    <w:rsid w:val="00EC6474"/>
    <w:rsid w:val="00ED052E"/>
    <w:rsid w:val="00ED64A0"/>
    <w:rsid w:val="00EE0ADB"/>
    <w:rsid w:val="00EE409B"/>
    <w:rsid w:val="00EF0CEB"/>
    <w:rsid w:val="00F05CE5"/>
    <w:rsid w:val="00F165D2"/>
    <w:rsid w:val="00F310CB"/>
    <w:rsid w:val="00F6451A"/>
    <w:rsid w:val="00F775C5"/>
    <w:rsid w:val="00FA1A33"/>
    <w:rsid w:val="00FA2262"/>
    <w:rsid w:val="00FA6F61"/>
    <w:rsid w:val="00FB3CD2"/>
    <w:rsid w:val="00FC32FC"/>
    <w:rsid w:val="00FE1DAA"/>
    <w:rsid w:val="00FF1002"/>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50E0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1"/>
    <w:pPr>
      <w:widowControl w:val="0"/>
      <w:jc w:val="both"/>
    </w:pPr>
  </w:style>
  <w:style w:type="paragraph" w:styleId="1">
    <w:name w:val="heading 1"/>
    <w:basedOn w:val="a"/>
    <w:link w:val="10"/>
    <w:uiPriority w:val="9"/>
    <w:qFormat/>
    <w:rsid w:val="00D41F9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2E"/>
    <w:pPr>
      <w:tabs>
        <w:tab w:val="center" w:pos="4252"/>
        <w:tab w:val="right" w:pos="8504"/>
      </w:tabs>
      <w:snapToGrid w:val="0"/>
    </w:pPr>
  </w:style>
  <w:style w:type="character" w:customStyle="1" w:styleId="a4">
    <w:name w:val="ヘッダー (文字)"/>
    <w:basedOn w:val="a0"/>
    <w:link w:val="a3"/>
    <w:uiPriority w:val="99"/>
    <w:rsid w:val="00A5442E"/>
  </w:style>
  <w:style w:type="paragraph" w:styleId="a5">
    <w:name w:val="footer"/>
    <w:basedOn w:val="a"/>
    <w:link w:val="a6"/>
    <w:uiPriority w:val="99"/>
    <w:unhideWhenUsed/>
    <w:rsid w:val="00A5442E"/>
    <w:pPr>
      <w:tabs>
        <w:tab w:val="center" w:pos="4252"/>
        <w:tab w:val="right" w:pos="8504"/>
      </w:tabs>
      <w:snapToGrid w:val="0"/>
    </w:pPr>
  </w:style>
  <w:style w:type="character" w:customStyle="1" w:styleId="a6">
    <w:name w:val="フッター (文字)"/>
    <w:basedOn w:val="a0"/>
    <w:link w:val="a5"/>
    <w:uiPriority w:val="99"/>
    <w:rsid w:val="00A5442E"/>
  </w:style>
  <w:style w:type="paragraph" w:styleId="a7">
    <w:name w:val="footnote text"/>
    <w:basedOn w:val="a"/>
    <w:link w:val="a8"/>
    <w:uiPriority w:val="99"/>
    <w:unhideWhenUsed/>
    <w:rsid w:val="005573C4"/>
    <w:pPr>
      <w:snapToGrid w:val="0"/>
      <w:jc w:val="left"/>
    </w:pPr>
  </w:style>
  <w:style w:type="character" w:customStyle="1" w:styleId="a8">
    <w:name w:val="脚注文字列 (文字)"/>
    <w:basedOn w:val="a0"/>
    <w:link w:val="a7"/>
    <w:uiPriority w:val="99"/>
    <w:rsid w:val="005573C4"/>
  </w:style>
  <w:style w:type="character" w:styleId="a9">
    <w:name w:val="footnote reference"/>
    <w:basedOn w:val="a0"/>
    <w:uiPriority w:val="99"/>
    <w:semiHidden/>
    <w:unhideWhenUsed/>
    <w:rsid w:val="005573C4"/>
    <w:rPr>
      <w:vertAlign w:val="superscript"/>
    </w:rPr>
  </w:style>
  <w:style w:type="character" w:styleId="aa">
    <w:name w:val="Hyperlink"/>
    <w:basedOn w:val="a0"/>
    <w:uiPriority w:val="99"/>
    <w:semiHidden/>
    <w:unhideWhenUsed/>
    <w:rsid w:val="009B197A"/>
    <w:rPr>
      <w:color w:val="0000FF"/>
      <w:u w:val="single"/>
    </w:rPr>
  </w:style>
  <w:style w:type="paragraph" w:styleId="ab">
    <w:name w:val="List Paragraph"/>
    <w:basedOn w:val="a"/>
    <w:uiPriority w:val="34"/>
    <w:qFormat/>
    <w:rsid w:val="00BE15AF"/>
    <w:pPr>
      <w:ind w:leftChars="400" w:left="840"/>
    </w:pPr>
  </w:style>
  <w:style w:type="paragraph" w:styleId="ac">
    <w:name w:val="Balloon Text"/>
    <w:basedOn w:val="a"/>
    <w:link w:val="ad"/>
    <w:uiPriority w:val="99"/>
    <w:semiHidden/>
    <w:unhideWhenUsed/>
    <w:rsid w:val="00C728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2835"/>
    <w:rPr>
      <w:rFonts w:asciiTheme="majorHAnsi" w:eastAsiaTheme="majorEastAsia" w:hAnsiTheme="majorHAnsi" w:cstheme="majorBidi"/>
      <w:sz w:val="18"/>
      <w:szCs w:val="18"/>
    </w:rPr>
  </w:style>
  <w:style w:type="paragraph" w:styleId="ae">
    <w:name w:val="No Spacing"/>
    <w:uiPriority w:val="1"/>
    <w:qFormat/>
    <w:rsid w:val="00FB3CD2"/>
    <w:pPr>
      <w:widowControl w:val="0"/>
      <w:jc w:val="both"/>
    </w:pPr>
  </w:style>
  <w:style w:type="character" w:customStyle="1" w:styleId="10">
    <w:name w:val="見出し 1 (文字)"/>
    <w:basedOn w:val="a0"/>
    <w:link w:val="1"/>
    <w:uiPriority w:val="9"/>
    <w:rsid w:val="00D41F93"/>
    <w:rPr>
      <w:rFonts w:ascii="ＭＳ Ｐゴシック" w:eastAsia="ＭＳ Ｐゴシック" w:hAnsi="ＭＳ Ｐゴシック" w:cs="ＭＳ Ｐゴシック"/>
      <w:b/>
      <w:bCs/>
      <w:kern w:val="36"/>
      <w:sz w:val="48"/>
      <w:szCs w:val="48"/>
    </w:rPr>
  </w:style>
  <w:style w:type="paragraph" w:styleId="af">
    <w:name w:val="Revision"/>
    <w:hidden/>
    <w:uiPriority w:val="99"/>
    <w:semiHidden/>
    <w:rsid w:val="00547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1"/>
    <w:pPr>
      <w:widowControl w:val="0"/>
      <w:jc w:val="both"/>
    </w:pPr>
  </w:style>
  <w:style w:type="paragraph" w:styleId="1">
    <w:name w:val="heading 1"/>
    <w:basedOn w:val="a"/>
    <w:link w:val="10"/>
    <w:uiPriority w:val="9"/>
    <w:qFormat/>
    <w:rsid w:val="00D41F9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2E"/>
    <w:pPr>
      <w:tabs>
        <w:tab w:val="center" w:pos="4252"/>
        <w:tab w:val="right" w:pos="8504"/>
      </w:tabs>
      <w:snapToGrid w:val="0"/>
    </w:pPr>
  </w:style>
  <w:style w:type="character" w:customStyle="1" w:styleId="a4">
    <w:name w:val="ヘッダー (文字)"/>
    <w:basedOn w:val="a0"/>
    <w:link w:val="a3"/>
    <w:uiPriority w:val="99"/>
    <w:rsid w:val="00A5442E"/>
  </w:style>
  <w:style w:type="paragraph" w:styleId="a5">
    <w:name w:val="footer"/>
    <w:basedOn w:val="a"/>
    <w:link w:val="a6"/>
    <w:uiPriority w:val="99"/>
    <w:unhideWhenUsed/>
    <w:rsid w:val="00A5442E"/>
    <w:pPr>
      <w:tabs>
        <w:tab w:val="center" w:pos="4252"/>
        <w:tab w:val="right" w:pos="8504"/>
      </w:tabs>
      <w:snapToGrid w:val="0"/>
    </w:pPr>
  </w:style>
  <w:style w:type="character" w:customStyle="1" w:styleId="a6">
    <w:name w:val="フッター (文字)"/>
    <w:basedOn w:val="a0"/>
    <w:link w:val="a5"/>
    <w:uiPriority w:val="99"/>
    <w:rsid w:val="00A5442E"/>
  </w:style>
  <w:style w:type="paragraph" w:styleId="a7">
    <w:name w:val="footnote text"/>
    <w:basedOn w:val="a"/>
    <w:link w:val="a8"/>
    <w:uiPriority w:val="99"/>
    <w:unhideWhenUsed/>
    <w:rsid w:val="005573C4"/>
    <w:pPr>
      <w:snapToGrid w:val="0"/>
      <w:jc w:val="left"/>
    </w:pPr>
  </w:style>
  <w:style w:type="character" w:customStyle="1" w:styleId="a8">
    <w:name w:val="脚注文字列 (文字)"/>
    <w:basedOn w:val="a0"/>
    <w:link w:val="a7"/>
    <w:uiPriority w:val="99"/>
    <w:rsid w:val="005573C4"/>
  </w:style>
  <w:style w:type="character" w:styleId="a9">
    <w:name w:val="footnote reference"/>
    <w:basedOn w:val="a0"/>
    <w:uiPriority w:val="99"/>
    <w:semiHidden/>
    <w:unhideWhenUsed/>
    <w:rsid w:val="005573C4"/>
    <w:rPr>
      <w:vertAlign w:val="superscript"/>
    </w:rPr>
  </w:style>
  <w:style w:type="character" w:styleId="aa">
    <w:name w:val="Hyperlink"/>
    <w:basedOn w:val="a0"/>
    <w:uiPriority w:val="99"/>
    <w:semiHidden/>
    <w:unhideWhenUsed/>
    <w:rsid w:val="009B197A"/>
    <w:rPr>
      <w:color w:val="0000FF"/>
      <w:u w:val="single"/>
    </w:rPr>
  </w:style>
  <w:style w:type="paragraph" w:styleId="ab">
    <w:name w:val="List Paragraph"/>
    <w:basedOn w:val="a"/>
    <w:uiPriority w:val="34"/>
    <w:qFormat/>
    <w:rsid w:val="00BE15AF"/>
    <w:pPr>
      <w:ind w:leftChars="400" w:left="840"/>
    </w:pPr>
  </w:style>
  <w:style w:type="paragraph" w:styleId="ac">
    <w:name w:val="Balloon Text"/>
    <w:basedOn w:val="a"/>
    <w:link w:val="ad"/>
    <w:uiPriority w:val="99"/>
    <w:semiHidden/>
    <w:unhideWhenUsed/>
    <w:rsid w:val="00C728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2835"/>
    <w:rPr>
      <w:rFonts w:asciiTheme="majorHAnsi" w:eastAsiaTheme="majorEastAsia" w:hAnsiTheme="majorHAnsi" w:cstheme="majorBidi"/>
      <w:sz w:val="18"/>
      <w:szCs w:val="18"/>
    </w:rPr>
  </w:style>
  <w:style w:type="paragraph" w:styleId="ae">
    <w:name w:val="No Spacing"/>
    <w:uiPriority w:val="1"/>
    <w:qFormat/>
    <w:rsid w:val="00FB3CD2"/>
    <w:pPr>
      <w:widowControl w:val="0"/>
      <w:jc w:val="both"/>
    </w:pPr>
  </w:style>
  <w:style w:type="character" w:customStyle="1" w:styleId="10">
    <w:name w:val="見出し 1 (文字)"/>
    <w:basedOn w:val="a0"/>
    <w:link w:val="1"/>
    <w:uiPriority w:val="9"/>
    <w:rsid w:val="00D41F93"/>
    <w:rPr>
      <w:rFonts w:ascii="ＭＳ Ｐゴシック" w:eastAsia="ＭＳ Ｐゴシック" w:hAnsi="ＭＳ Ｐゴシック" w:cs="ＭＳ Ｐゴシック"/>
      <w:b/>
      <w:bCs/>
      <w:kern w:val="36"/>
      <w:sz w:val="48"/>
      <w:szCs w:val="48"/>
    </w:rPr>
  </w:style>
  <w:style w:type="paragraph" w:styleId="af">
    <w:name w:val="Revision"/>
    <w:hidden/>
    <w:uiPriority w:val="99"/>
    <w:semiHidden/>
    <w:rsid w:val="0054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yperlink" Target="http://www.maff.go.jp/j/syouan/nouan/carta/c_list/pdf/list02_20131031.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sas2007.jp/project/pdf/pdf08.pdf" TargetMode="External"/><Relationship Id="rId4" Type="http://schemas.openxmlformats.org/officeDocument/2006/relationships/hyperlink" Target="http://www.maff.go.jp/j/syouan/nouan/carta/c_list/pdf/list02_20131031.pdf" TargetMode="External"/><Relationship Id="rId1" Type="http://schemas.openxmlformats.org/officeDocument/2006/relationships/hyperlink" Target="http://www.sas2007.jp/project/pdf/pdf08.pdf" TargetMode="External"/><Relationship Id="rId2" Type="http://schemas.openxmlformats.org/officeDocument/2006/relationships/hyperlink" Target="http://www.sas2007.jp/project/pdf/pdf0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at0226\Desktop\zyukyu.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at0226\Dropbox\zyuky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世界の穀物生産量の推移</a:t>
            </a:r>
            <a:endParaRPr lang="en-US" altLang="en-US"/>
          </a:p>
        </c:rich>
      </c:tx>
      <c:layout/>
      <c:overlay val="0"/>
    </c:title>
    <c:autoTitleDeleted val="0"/>
    <c:plotArea>
      <c:layout/>
      <c:lineChart>
        <c:grouping val="standard"/>
        <c:varyColors val="0"/>
        <c:ser>
          <c:idx val="0"/>
          <c:order val="0"/>
          <c:tx>
            <c:strRef>
              <c:f>データ!$B$5:$B$6</c:f>
              <c:strCache>
                <c:ptCount val="1"/>
                <c:pt idx="0">
                  <c:v>生産量 （100万t）</c:v>
                </c:pt>
              </c:strCache>
            </c:strRef>
          </c:tx>
          <c:marker>
            <c:symbol val="none"/>
          </c:marker>
          <c:cat>
            <c:numRef>
              <c:f>データ!$A$7:$A$43</c:f>
              <c:numCache>
                <c:formatCode>General</c:formatCode>
                <c:ptCount val="37"/>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numCache>
            </c:numRef>
          </c:cat>
          <c:val>
            <c:numRef>
              <c:f>データ!$B$7:$B$43</c:f>
              <c:numCache>
                <c:formatCode>#,##0.0</c:formatCode>
                <c:ptCount val="37"/>
                <c:pt idx="0">
                  <c:v>1078.706</c:v>
                </c:pt>
                <c:pt idx="1">
                  <c:v>1177.258</c:v>
                </c:pt>
                <c:pt idx="2">
                  <c:v>1140.61</c:v>
                </c:pt>
                <c:pt idx="3">
                  <c:v>1252.955</c:v>
                </c:pt>
                <c:pt idx="4">
                  <c:v>1203.498</c:v>
                </c:pt>
                <c:pt idx="5">
                  <c:v>1236.535</c:v>
                </c:pt>
                <c:pt idx="6">
                  <c:v>1341.753</c:v>
                </c:pt>
                <c:pt idx="7">
                  <c:v>1318.999</c:v>
                </c:pt>
                <c:pt idx="8">
                  <c:v>1445.142</c:v>
                </c:pt>
                <c:pt idx="9">
                  <c:v>1409.235</c:v>
                </c:pt>
                <c:pt idx="10">
                  <c:v>1429.238</c:v>
                </c:pt>
                <c:pt idx="11">
                  <c:v>1481.908</c:v>
                </c:pt>
                <c:pt idx="12">
                  <c:v>1532.992</c:v>
                </c:pt>
                <c:pt idx="13">
                  <c:v>1469.439</c:v>
                </c:pt>
                <c:pt idx="14">
                  <c:v>1631.753</c:v>
                </c:pt>
                <c:pt idx="15">
                  <c:v>1646.507</c:v>
                </c:pt>
                <c:pt idx="16">
                  <c:v>1664.024</c:v>
                </c:pt>
                <c:pt idx="17">
                  <c:v>1600.953</c:v>
                </c:pt>
                <c:pt idx="18">
                  <c:v>1550.234</c:v>
                </c:pt>
                <c:pt idx="19">
                  <c:v>1672.66</c:v>
                </c:pt>
                <c:pt idx="20">
                  <c:v>1769.019</c:v>
                </c:pt>
                <c:pt idx="21">
                  <c:v>1708.981</c:v>
                </c:pt>
                <c:pt idx="22">
                  <c:v>1785.576</c:v>
                </c:pt>
                <c:pt idx="23">
                  <c:v>1710.825</c:v>
                </c:pt>
                <c:pt idx="24">
                  <c:v>1756.668</c:v>
                </c:pt>
                <c:pt idx="25">
                  <c:v>1707.294</c:v>
                </c:pt>
                <c:pt idx="26">
                  <c:v>1871.654</c:v>
                </c:pt>
                <c:pt idx="27">
                  <c:v>1879.023</c:v>
                </c:pt>
                <c:pt idx="28">
                  <c:v>1876.714</c:v>
                </c:pt>
                <c:pt idx="29">
                  <c:v>1874.517</c:v>
                </c:pt>
                <c:pt idx="30">
                  <c:v>1846.43</c:v>
                </c:pt>
                <c:pt idx="31">
                  <c:v>1880.381</c:v>
                </c:pt>
                <c:pt idx="32">
                  <c:v>1821.848</c:v>
                </c:pt>
                <c:pt idx="33">
                  <c:v>1864.008</c:v>
                </c:pt>
                <c:pt idx="34">
                  <c:v>2043.93</c:v>
                </c:pt>
                <c:pt idx="35">
                  <c:v>2017.47</c:v>
                </c:pt>
                <c:pt idx="36">
                  <c:v>2005.107</c:v>
                </c:pt>
              </c:numCache>
            </c:numRef>
          </c:val>
          <c:smooth val="0"/>
        </c:ser>
        <c:dLbls>
          <c:showLegendKey val="0"/>
          <c:showVal val="0"/>
          <c:showCatName val="0"/>
          <c:showSerName val="0"/>
          <c:showPercent val="0"/>
          <c:showBubbleSize val="0"/>
        </c:dLbls>
        <c:marker val="1"/>
        <c:smooth val="0"/>
        <c:axId val="2079829512"/>
        <c:axId val="2030570264"/>
      </c:lineChart>
      <c:catAx>
        <c:axId val="2079829512"/>
        <c:scaling>
          <c:orientation val="minMax"/>
        </c:scaling>
        <c:delete val="0"/>
        <c:axPos val="b"/>
        <c:numFmt formatCode="General" sourceLinked="1"/>
        <c:majorTickMark val="out"/>
        <c:minorTickMark val="none"/>
        <c:tickLblPos val="nextTo"/>
        <c:crossAx val="2030570264"/>
        <c:crosses val="autoZero"/>
        <c:auto val="1"/>
        <c:lblAlgn val="ctr"/>
        <c:lblOffset val="100"/>
        <c:noMultiLvlLbl val="0"/>
      </c:catAx>
      <c:valAx>
        <c:axId val="2030570264"/>
        <c:scaling>
          <c:orientation val="minMax"/>
          <c:min val="1000.0"/>
        </c:scaling>
        <c:delete val="0"/>
        <c:axPos val="l"/>
        <c:majorGridlines/>
        <c:numFmt formatCode="#,##0.0" sourceLinked="1"/>
        <c:majorTickMark val="out"/>
        <c:minorTickMark val="none"/>
        <c:tickLblPos val="nextTo"/>
        <c:crossAx val="2079829512"/>
        <c:crosses val="autoZero"/>
        <c:crossBetween val="between"/>
      </c:valAx>
    </c:plotArea>
    <c:legend>
      <c:legendPos val="r"/>
      <c:layout>
        <c:manualLayout>
          <c:xMode val="edge"/>
          <c:yMode val="edge"/>
          <c:x val="0.709033078880407"/>
          <c:y val="0.644380455350058"/>
          <c:w val="0.288422391857511"/>
          <c:h val="0.06937862418360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穀物生産量（</a:t>
            </a:r>
            <a:r>
              <a:rPr lang="en-US" altLang="ja-JP"/>
              <a:t>5</a:t>
            </a:r>
            <a:r>
              <a:rPr lang="ja-JP" altLang="en-US"/>
              <a:t>年間ごと）と伸び率</a:t>
            </a:r>
          </a:p>
        </c:rich>
      </c:tx>
      <c:layout>
        <c:manualLayout>
          <c:xMode val="edge"/>
          <c:yMode val="edge"/>
          <c:x val="0.204927000540737"/>
          <c:y val="0.0363636363636364"/>
        </c:manualLayout>
      </c:layout>
      <c:overlay val="0"/>
    </c:title>
    <c:autoTitleDeleted val="0"/>
    <c:plotArea>
      <c:layout/>
      <c:barChart>
        <c:barDir val="col"/>
        <c:grouping val="clustered"/>
        <c:varyColors val="0"/>
        <c:ser>
          <c:idx val="0"/>
          <c:order val="0"/>
          <c:tx>
            <c:strRef>
              <c:f>データ!$H$10</c:f>
              <c:strCache>
                <c:ptCount val="1"/>
                <c:pt idx="0">
                  <c:v>生産量合計（100万ｔ）</c:v>
                </c:pt>
              </c:strCache>
            </c:strRef>
          </c:tx>
          <c:invertIfNegative val="0"/>
          <c:cat>
            <c:strRef>
              <c:f>データ!$G$11:$G$18</c:f>
              <c:strCache>
                <c:ptCount val="8"/>
                <c:pt idx="0">
                  <c:v>1970～74</c:v>
                </c:pt>
                <c:pt idx="1">
                  <c:v>1975～79</c:v>
                </c:pt>
                <c:pt idx="2">
                  <c:v>1980～84</c:v>
                </c:pt>
                <c:pt idx="3">
                  <c:v>1985～90</c:v>
                </c:pt>
                <c:pt idx="4">
                  <c:v>1990～94</c:v>
                </c:pt>
                <c:pt idx="5">
                  <c:v>1995～99</c:v>
                </c:pt>
                <c:pt idx="6">
                  <c:v>2000～04</c:v>
                </c:pt>
                <c:pt idx="7">
                  <c:v>2005～09</c:v>
                </c:pt>
              </c:strCache>
            </c:strRef>
          </c:cat>
          <c:val>
            <c:numRef>
              <c:f>データ!$H$11:$H$18</c:f>
              <c:numCache>
                <c:formatCode>#,##0.0</c:formatCode>
                <c:ptCount val="8"/>
                <c:pt idx="0">
                  <c:v>5853.027</c:v>
                </c:pt>
                <c:pt idx="1">
                  <c:v>6751.664000000003</c:v>
                </c:pt>
                <c:pt idx="2">
                  <c:v>7545.33</c:v>
                </c:pt>
                <c:pt idx="3">
                  <c:v>8134.378000000001</c:v>
                </c:pt>
                <c:pt idx="4">
                  <c:v>8731.068999999876</c:v>
                </c:pt>
                <c:pt idx="5">
                  <c:v>9209.202000000004</c:v>
                </c:pt>
                <c:pt idx="6">
                  <c:v>9456.596999999887</c:v>
                </c:pt>
                <c:pt idx="7">
                  <c:v>10633.412</c:v>
                </c:pt>
              </c:numCache>
            </c:numRef>
          </c:val>
        </c:ser>
        <c:dLbls>
          <c:showLegendKey val="0"/>
          <c:showVal val="0"/>
          <c:showCatName val="0"/>
          <c:showSerName val="0"/>
          <c:showPercent val="0"/>
          <c:showBubbleSize val="0"/>
        </c:dLbls>
        <c:gapWidth val="150"/>
        <c:axId val="2074204536"/>
        <c:axId val="2031549128"/>
      </c:barChart>
      <c:lineChart>
        <c:grouping val="standard"/>
        <c:varyColors val="0"/>
        <c:ser>
          <c:idx val="1"/>
          <c:order val="1"/>
          <c:tx>
            <c:strRef>
              <c:f>データ!$I$10</c:f>
              <c:strCache>
                <c:ptCount val="1"/>
                <c:pt idx="0">
                  <c:v>前年比較伸び率</c:v>
                </c:pt>
              </c:strCache>
            </c:strRef>
          </c:tx>
          <c:marker>
            <c:symbol val="none"/>
          </c:marker>
          <c:cat>
            <c:strRef>
              <c:f>データ!$G$11:$G$18</c:f>
              <c:strCache>
                <c:ptCount val="8"/>
                <c:pt idx="0">
                  <c:v>1970～74</c:v>
                </c:pt>
                <c:pt idx="1">
                  <c:v>1975～79</c:v>
                </c:pt>
                <c:pt idx="2">
                  <c:v>1980～84</c:v>
                </c:pt>
                <c:pt idx="3">
                  <c:v>1985～90</c:v>
                </c:pt>
                <c:pt idx="4">
                  <c:v>1990～94</c:v>
                </c:pt>
                <c:pt idx="5">
                  <c:v>1995～99</c:v>
                </c:pt>
                <c:pt idx="6">
                  <c:v>2000～04</c:v>
                </c:pt>
                <c:pt idx="7">
                  <c:v>2005～09</c:v>
                </c:pt>
              </c:strCache>
            </c:strRef>
          </c:cat>
          <c:val>
            <c:numRef>
              <c:f>データ!$I$11:$I$18</c:f>
              <c:numCache>
                <c:formatCode>General</c:formatCode>
                <c:ptCount val="8"/>
                <c:pt idx="1">
                  <c:v>1.153533718535725</c:v>
                </c:pt>
                <c:pt idx="2">
                  <c:v>1.117551169607966</c:v>
                </c:pt>
                <c:pt idx="3">
                  <c:v>1.07806789100013</c:v>
                </c:pt>
                <c:pt idx="4">
                  <c:v>1.073354225731826</c:v>
                </c:pt>
                <c:pt idx="5">
                  <c:v>1.054762251907527</c:v>
                </c:pt>
                <c:pt idx="6">
                  <c:v>1.02686389113845</c:v>
                </c:pt>
                <c:pt idx="7">
                  <c:v>1.124443814196595</c:v>
                </c:pt>
              </c:numCache>
            </c:numRef>
          </c:val>
          <c:smooth val="0"/>
        </c:ser>
        <c:dLbls>
          <c:showLegendKey val="0"/>
          <c:showVal val="0"/>
          <c:showCatName val="0"/>
          <c:showSerName val="0"/>
          <c:showPercent val="0"/>
          <c:showBubbleSize val="0"/>
        </c:dLbls>
        <c:marker val="1"/>
        <c:smooth val="0"/>
        <c:axId val="2096901848"/>
        <c:axId val="2079113896"/>
      </c:lineChart>
      <c:catAx>
        <c:axId val="2074204536"/>
        <c:scaling>
          <c:orientation val="minMax"/>
        </c:scaling>
        <c:delete val="0"/>
        <c:axPos val="b"/>
        <c:numFmt formatCode="General" sourceLinked="1"/>
        <c:majorTickMark val="out"/>
        <c:minorTickMark val="none"/>
        <c:tickLblPos val="nextTo"/>
        <c:crossAx val="2031549128"/>
        <c:crosses val="autoZero"/>
        <c:auto val="1"/>
        <c:lblAlgn val="ctr"/>
        <c:lblOffset val="100"/>
        <c:noMultiLvlLbl val="0"/>
      </c:catAx>
      <c:valAx>
        <c:axId val="2031549128"/>
        <c:scaling>
          <c:orientation val="minMax"/>
        </c:scaling>
        <c:delete val="0"/>
        <c:axPos val="l"/>
        <c:majorGridlines/>
        <c:numFmt formatCode="General" sourceLinked="0"/>
        <c:majorTickMark val="out"/>
        <c:minorTickMark val="none"/>
        <c:tickLblPos val="nextTo"/>
        <c:crossAx val="2074204536"/>
        <c:crosses val="autoZero"/>
        <c:crossBetween val="between"/>
      </c:valAx>
      <c:catAx>
        <c:axId val="2096901848"/>
        <c:scaling>
          <c:orientation val="minMax"/>
        </c:scaling>
        <c:delete val="1"/>
        <c:axPos val="b"/>
        <c:majorTickMark val="out"/>
        <c:minorTickMark val="none"/>
        <c:tickLblPos val="none"/>
        <c:crossAx val="2079113896"/>
        <c:crosses val="autoZero"/>
        <c:auto val="1"/>
        <c:lblAlgn val="ctr"/>
        <c:lblOffset val="100"/>
        <c:noMultiLvlLbl val="0"/>
      </c:catAx>
      <c:valAx>
        <c:axId val="2079113896"/>
        <c:scaling>
          <c:orientation val="minMax"/>
          <c:min val="0.960000000000001"/>
        </c:scaling>
        <c:delete val="0"/>
        <c:axPos val="r"/>
        <c:numFmt formatCode="General" sourceLinked="1"/>
        <c:majorTickMark val="out"/>
        <c:minorTickMark val="none"/>
        <c:tickLblPos val="nextTo"/>
        <c:crossAx val="2096901848"/>
        <c:crosses val="max"/>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64AA-FFBF-7B47-8BF7-A40E57A1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1363</Words>
  <Characters>7770</Characters>
  <Application>Microsoft Macintosh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great0226</dc:creator>
  <cp:lastModifiedBy>木原 章</cp:lastModifiedBy>
  <cp:revision>4</cp:revision>
  <dcterms:created xsi:type="dcterms:W3CDTF">2015-10-28T07:49:00Z</dcterms:created>
  <dcterms:modified xsi:type="dcterms:W3CDTF">2015-10-28T07:54:00Z</dcterms:modified>
</cp:coreProperties>
</file>