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6E" w:rsidRDefault="00554043" w:rsidP="00DA266E">
      <w:pPr>
        <w:jc w:val="center"/>
      </w:pPr>
      <w:r>
        <w:rPr>
          <w:rFonts w:hint="eastAsia"/>
        </w:rPr>
        <w:t>高度医療化社会が抱える財政問題とその解決法</w:t>
      </w:r>
    </w:p>
    <w:p w:rsidR="00554043" w:rsidRDefault="00554043" w:rsidP="00554043">
      <w:pPr>
        <w:jc w:val="right"/>
      </w:pPr>
      <w:r>
        <w:t xml:space="preserve">10F1952 </w:t>
      </w:r>
      <w:r>
        <w:rPr>
          <w:rFonts w:hint="eastAsia"/>
        </w:rPr>
        <w:t>丸島　尚海</w:t>
      </w:r>
    </w:p>
    <w:p w:rsidR="00554043" w:rsidRDefault="00554043" w:rsidP="00554043">
      <w:pPr>
        <w:jc w:val="left"/>
      </w:pPr>
    </w:p>
    <w:p w:rsidR="00554043" w:rsidRPr="00C60DD9" w:rsidRDefault="00554043" w:rsidP="00554043">
      <w:pPr>
        <w:pStyle w:val="a7"/>
        <w:numPr>
          <w:ilvl w:val="0"/>
          <w:numId w:val="1"/>
        </w:numPr>
        <w:ind w:leftChars="0"/>
        <w:jc w:val="left"/>
      </w:pPr>
      <w:r w:rsidRPr="00C60DD9">
        <w:rPr>
          <w:rFonts w:hint="eastAsia"/>
          <w:u w:val="single"/>
        </w:rPr>
        <w:t>序文</w:t>
      </w:r>
      <w:r w:rsidR="00C60DD9">
        <w:rPr>
          <w:rFonts w:hint="eastAsia"/>
          <w:u w:val="single"/>
        </w:rPr>
        <w:t xml:space="preserve">　　　　　　　　　　　　　　　　　　　　　　　　　　　　　　　　　　　　</w:t>
      </w:r>
      <w:r w:rsidR="00C60DD9" w:rsidRPr="00C60DD9">
        <w:rPr>
          <w:rFonts w:hint="eastAsia"/>
        </w:rPr>
        <w:t xml:space="preserve">　　</w:t>
      </w:r>
    </w:p>
    <w:p w:rsidR="00554043" w:rsidRDefault="00554043" w:rsidP="00554043">
      <w:pPr>
        <w:jc w:val="left"/>
      </w:pPr>
    </w:p>
    <w:p w:rsidR="00554043" w:rsidRDefault="00554043" w:rsidP="00554043">
      <w:pPr>
        <w:jc w:val="left"/>
      </w:pPr>
      <w:r>
        <w:rPr>
          <w:rFonts w:hint="eastAsia"/>
        </w:rPr>
        <w:t xml:space="preserve">　現代の医療技術はものすごいスピードで日々進化している、その中で、我々は以前より、より長く余生を過ごせるようになり、平均寿命も年々伸びている。そこで私は、高度な医療の発達により、あらゆる死を招く病気の治療が可能になるなかで、全ての人の死因が、老衰や不慮の事故で亡くなるように限定された社会</w:t>
      </w:r>
      <w:r w:rsidR="00FB2EDD">
        <w:rPr>
          <w:rFonts w:hint="eastAsia"/>
        </w:rPr>
        <w:t>へ向かう流れを、高度医療社会化と定義し、それが引き起こす諸問題とその解決法を</w:t>
      </w:r>
      <w:r>
        <w:rPr>
          <w:rFonts w:hint="eastAsia"/>
        </w:rPr>
        <w:t>下に述べていく。</w:t>
      </w:r>
    </w:p>
    <w:p w:rsidR="00554043" w:rsidRDefault="00554043" w:rsidP="00554043">
      <w:pPr>
        <w:jc w:val="left"/>
      </w:pPr>
    </w:p>
    <w:p w:rsidR="00554043" w:rsidRDefault="00554043" w:rsidP="00554043">
      <w:pPr>
        <w:jc w:val="left"/>
      </w:pPr>
    </w:p>
    <w:p w:rsidR="00554043" w:rsidRPr="00C60DD9" w:rsidRDefault="00554043" w:rsidP="00554043">
      <w:pPr>
        <w:pStyle w:val="a7"/>
        <w:numPr>
          <w:ilvl w:val="0"/>
          <w:numId w:val="1"/>
        </w:numPr>
        <w:ind w:leftChars="0"/>
        <w:jc w:val="left"/>
        <w:rPr>
          <w:u w:val="single"/>
        </w:rPr>
      </w:pPr>
      <w:r w:rsidRPr="00C60DD9">
        <w:rPr>
          <w:rFonts w:hint="eastAsia"/>
          <w:u w:val="single"/>
        </w:rPr>
        <w:t>高度医療社会が社会にもたらす影響</w:t>
      </w:r>
      <w:r w:rsidR="00C60DD9">
        <w:rPr>
          <w:rFonts w:hint="eastAsia"/>
          <w:u w:val="single"/>
        </w:rPr>
        <w:t xml:space="preserve">　　　　　　　　　　　　　　　　　　　　　　</w:t>
      </w:r>
    </w:p>
    <w:p w:rsidR="00554043" w:rsidRDefault="00554043" w:rsidP="00554043">
      <w:pPr>
        <w:jc w:val="left"/>
      </w:pPr>
      <w:r>
        <w:rPr>
          <w:rFonts w:hint="eastAsia"/>
        </w:rPr>
        <w:t xml:space="preserve">　</w:t>
      </w:r>
    </w:p>
    <w:p w:rsidR="00554043" w:rsidRDefault="00554043" w:rsidP="00554043">
      <w:pPr>
        <w:jc w:val="left"/>
      </w:pPr>
      <w:r>
        <w:rPr>
          <w:rFonts w:hint="eastAsia"/>
        </w:rPr>
        <w:t xml:space="preserve">　２－１　高度医療の光と影</w:t>
      </w:r>
    </w:p>
    <w:p w:rsidR="00554043" w:rsidRDefault="00554043" w:rsidP="00554043">
      <w:pPr>
        <w:jc w:val="left"/>
      </w:pPr>
      <w:r>
        <w:rPr>
          <w:rFonts w:hint="eastAsia"/>
        </w:rPr>
        <w:t xml:space="preserve">　</w:t>
      </w:r>
    </w:p>
    <w:p w:rsidR="00554043" w:rsidRDefault="00554043" w:rsidP="00554043">
      <w:pPr>
        <w:jc w:val="left"/>
      </w:pPr>
      <w:r>
        <w:rPr>
          <w:rFonts w:hint="eastAsia"/>
        </w:rPr>
        <w:t xml:space="preserve">　近年のめざましい医療の進歩は、疾病に悩んでいた患者にとって大きな希望をもたらしたと同時に、平均寿命の伸長をもたらし人類史上かつてない高齢化社会を迎えている。</w:t>
      </w:r>
    </w:p>
    <w:p w:rsidR="00554043" w:rsidRDefault="00554043" w:rsidP="00554043">
      <w:pPr>
        <w:jc w:val="left"/>
      </w:pPr>
      <w:r>
        <w:rPr>
          <w:rFonts w:hint="eastAsia"/>
        </w:rPr>
        <w:t xml:space="preserve">　しかし、そのことは、同時に要介護者高齢者の増加という結果ももたらしている。果たして、寿命が延び、それに伴い国民医療費負担が極端に増えてしまうことが、我々にとって望ましいことなのだろうか。患者のためを思い開発された高度医療が、逆に患者を苦しめることに繋がっているのではないだろうか。一見、バラ色の社会にみえる高度医療社会においても、その脇に影の部分が存在しうるということを、常に我々は忘れてはいけないのである。</w:t>
      </w:r>
    </w:p>
    <w:p w:rsidR="00554043" w:rsidRDefault="00554043" w:rsidP="00554043">
      <w:pPr>
        <w:jc w:val="left"/>
      </w:pPr>
      <w:r>
        <w:rPr>
          <w:rFonts w:hint="eastAsia"/>
        </w:rPr>
        <w:t xml:space="preserve">　　　　　</w:t>
      </w:r>
    </w:p>
    <w:p w:rsidR="00554043" w:rsidRDefault="00554043" w:rsidP="00554043">
      <w:pPr>
        <w:jc w:val="left"/>
      </w:pPr>
      <w:r>
        <w:rPr>
          <w:rFonts w:hint="eastAsia"/>
        </w:rPr>
        <w:t xml:space="preserve">　２－２　医療費負担の増加</w:t>
      </w:r>
    </w:p>
    <w:p w:rsidR="00554043" w:rsidRDefault="00554043" w:rsidP="00554043">
      <w:pPr>
        <w:jc w:val="left"/>
      </w:pPr>
    </w:p>
    <w:p w:rsidR="00554043" w:rsidRDefault="00554043" w:rsidP="00554043">
      <w:r>
        <w:rPr>
          <w:rFonts w:hint="eastAsia"/>
        </w:rPr>
        <w:t xml:space="preserve">　</w:t>
      </w:r>
      <w:proofErr w:type="spellStart"/>
      <w:r>
        <w:t>ips</w:t>
      </w:r>
      <w:proofErr w:type="spellEnd"/>
      <w:r>
        <w:rPr>
          <w:rFonts w:hint="eastAsia"/>
        </w:rPr>
        <w:t>細胞などに代表される、多大な開発コストを必要とする高度医療は今現在、国民医療費（国の公費負担と社会保険料の合計）の高騰をもたらしている。特に、高度医療が盛んなアメリカにおいて、この医療費増加は個人負担の医療費の増加に顕著に表れている</w:t>
      </w:r>
      <w:r w:rsidR="00FB2EDD">
        <w:rPr>
          <w:rFonts w:hint="eastAsia"/>
        </w:rPr>
        <w:t>（社会実情データ図録　２０１３年）</w:t>
      </w:r>
      <w:r>
        <w:rPr>
          <w:rStyle w:val="a9"/>
        </w:rPr>
        <w:endnoteReference w:id="1"/>
      </w:r>
      <w:r>
        <w:rPr>
          <w:rFonts w:hint="eastAsia"/>
        </w:rPr>
        <w:t>。加えて、近年の日本の国民医療費高騰の約７０％が</w:t>
      </w:r>
      <w:r w:rsidR="00FB2EDD">
        <w:rPr>
          <w:rFonts w:hint="eastAsia"/>
        </w:rPr>
        <w:t>この医療の高度化が原因（介護医療費を除く）とされている。（</w:t>
      </w:r>
      <w:r w:rsidR="00FB2EDD">
        <w:rPr>
          <w:rFonts w:hint="eastAsia"/>
          <w:kern w:val="0"/>
          <w:sz w:val="20"/>
          <w:szCs w:val="20"/>
        </w:rPr>
        <w:t>兪</w:t>
      </w:r>
      <w:r w:rsidR="00FB2EDD">
        <w:rPr>
          <w:kern w:val="0"/>
          <w:sz w:val="20"/>
          <w:szCs w:val="20"/>
        </w:rPr>
        <w:t xml:space="preserve"> </w:t>
      </w:r>
      <w:r w:rsidR="00FB2EDD">
        <w:rPr>
          <w:rFonts w:hint="eastAsia"/>
          <w:kern w:val="0"/>
          <w:sz w:val="20"/>
          <w:szCs w:val="20"/>
        </w:rPr>
        <w:t xml:space="preserve">炳匡　</w:t>
      </w:r>
      <w:r w:rsidR="00FB2EDD">
        <w:rPr>
          <w:rFonts w:hint="eastAsia"/>
          <w:kern w:val="0"/>
          <w:sz w:val="20"/>
          <w:szCs w:val="20"/>
        </w:rPr>
        <w:t>2006</w:t>
      </w:r>
      <w:r w:rsidR="00FB2EDD">
        <w:rPr>
          <w:rFonts w:hint="eastAsia"/>
          <w:kern w:val="0"/>
          <w:sz w:val="20"/>
          <w:szCs w:val="20"/>
        </w:rPr>
        <w:t>）</w:t>
      </w:r>
      <w:r w:rsidR="00FB2EDD">
        <w:rPr>
          <w:rStyle w:val="a9"/>
          <w:kern w:val="0"/>
          <w:sz w:val="20"/>
          <w:szCs w:val="20"/>
        </w:rPr>
        <w:endnoteReference w:id="2"/>
      </w:r>
      <w:r>
        <w:rPr>
          <w:rFonts w:hint="eastAsia"/>
        </w:rPr>
        <w:t>よって、高度医療社会において、より一層の費用負担が発生する恐れがある。</w:t>
      </w:r>
    </w:p>
    <w:p w:rsidR="00554043" w:rsidRDefault="00554043" w:rsidP="00554043">
      <w:pPr>
        <w:ind w:firstLineChars="100" w:firstLine="210"/>
      </w:pPr>
      <w:r>
        <w:rPr>
          <w:rFonts w:hint="eastAsia"/>
        </w:rPr>
        <w:t>ちなみに、この国民医療費高騰の原因が、平均寿命の伸長に関係なく、高度医療の普及、ならびに死亡者数の大小がほとんどとされている理由は、一般的に国民医療費は死亡直前に一定額発生することから、寿命の長短には関係ない</w:t>
      </w:r>
      <w:r w:rsidR="00FB2EDD">
        <w:rPr>
          <w:rFonts w:hint="eastAsia"/>
        </w:rPr>
        <w:t>（</w:t>
      </w:r>
      <w:r w:rsidR="00FB2EDD">
        <w:rPr>
          <w:rFonts w:hint="eastAsia"/>
          <w:kern w:val="0"/>
          <w:sz w:val="20"/>
          <w:szCs w:val="20"/>
        </w:rPr>
        <w:t>兪</w:t>
      </w:r>
      <w:r w:rsidR="00FB2EDD">
        <w:rPr>
          <w:kern w:val="0"/>
          <w:sz w:val="20"/>
          <w:szCs w:val="20"/>
        </w:rPr>
        <w:t xml:space="preserve"> </w:t>
      </w:r>
      <w:r w:rsidR="00FB2EDD">
        <w:rPr>
          <w:rFonts w:hint="eastAsia"/>
          <w:kern w:val="0"/>
          <w:sz w:val="20"/>
          <w:szCs w:val="20"/>
        </w:rPr>
        <w:t xml:space="preserve">炳匡　</w:t>
      </w:r>
      <w:r w:rsidR="00FB2EDD">
        <w:rPr>
          <w:rFonts w:hint="eastAsia"/>
          <w:kern w:val="0"/>
          <w:sz w:val="20"/>
          <w:szCs w:val="20"/>
        </w:rPr>
        <w:t>2006</w:t>
      </w:r>
      <w:r w:rsidR="00FB2EDD">
        <w:rPr>
          <w:rFonts w:hint="eastAsia"/>
          <w:kern w:val="0"/>
          <w:sz w:val="20"/>
          <w:szCs w:val="20"/>
        </w:rPr>
        <w:t>）</w:t>
      </w:r>
      <w:r w:rsidR="00FB2EDD">
        <w:rPr>
          <w:rStyle w:val="a9"/>
          <w:kern w:val="0"/>
          <w:sz w:val="20"/>
          <w:szCs w:val="20"/>
        </w:rPr>
        <w:endnoteReference w:id="3"/>
      </w:r>
      <w:r>
        <w:rPr>
          <w:rFonts w:hint="eastAsia"/>
        </w:rPr>
        <w:t>と言われているか</w:t>
      </w:r>
      <w:r>
        <w:rPr>
          <w:rFonts w:hint="eastAsia"/>
        </w:rPr>
        <w:lastRenderedPageBreak/>
        <w:t>らである。しかし、人口の高齢化が介護費の上昇に繋がることも忘れてはいけない。</w:t>
      </w:r>
    </w:p>
    <w:p w:rsidR="00554043" w:rsidRDefault="00554043" w:rsidP="00554043">
      <w:pPr>
        <w:ind w:firstLineChars="100" w:firstLine="210"/>
        <w:jc w:val="left"/>
      </w:pPr>
      <w:r>
        <w:rPr>
          <w:rFonts w:hint="eastAsia"/>
        </w:rPr>
        <w:t>グラフ１に近年の国民医療費の対</w:t>
      </w:r>
      <w:r>
        <w:t>GDP</w:t>
      </w:r>
      <w:r>
        <w:rPr>
          <w:rFonts w:hint="eastAsia"/>
        </w:rPr>
        <w:t>及び</w:t>
      </w:r>
      <w:r>
        <w:t>GNP</w:t>
      </w:r>
      <w:r>
        <w:rPr>
          <w:rFonts w:hint="eastAsia"/>
        </w:rPr>
        <w:t>比の割合を示した。全期間の傾向として上昇基調にある。そして、その傾向はこれからも続くと考えられる。</w:t>
      </w:r>
    </w:p>
    <w:p w:rsidR="00554043" w:rsidRDefault="00554043" w:rsidP="00554043">
      <w:pPr>
        <w:jc w:val="left"/>
      </w:pPr>
    </w:p>
    <w:p w:rsidR="00554043" w:rsidRDefault="00554043" w:rsidP="00554043">
      <w:pPr>
        <w:jc w:val="left"/>
      </w:pPr>
    </w:p>
    <w:p w:rsidR="00554043" w:rsidRDefault="00554043" w:rsidP="00554043">
      <w:pPr>
        <w:ind w:firstLineChars="100" w:firstLine="210"/>
        <w:jc w:val="center"/>
      </w:pPr>
      <w:r>
        <w:rPr>
          <w:rFonts w:hint="eastAsia"/>
        </w:rPr>
        <w:t>グラフ１</w:t>
      </w:r>
      <w:r>
        <w:rPr>
          <w:rStyle w:val="a9"/>
        </w:rPr>
        <w:endnoteReference w:id="4"/>
      </w:r>
    </w:p>
    <w:p w:rsidR="00B3775A" w:rsidRDefault="00821FA7"/>
    <w:p w:rsidR="00554043" w:rsidRDefault="00554043"/>
    <w:p w:rsidR="00554043" w:rsidRDefault="00554043">
      <w:r>
        <w:rPr>
          <w:noProof/>
        </w:rPr>
        <w:drawing>
          <wp:inline distT="0" distB="0" distL="0" distR="0" wp14:anchorId="7E9E8D13" wp14:editId="23971780">
            <wp:extent cx="5400040" cy="4053840"/>
            <wp:effectExtent l="0" t="0" r="0" b="3810"/>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4053840"/>
                    </a:xfrm>
                    <a:prstGeom prst="rect">
                      <a:avLst/>
                    </a:prstGeom>
                    <a:noFill/>
                    <a:ln>
                      <a:noFill/>
                    </a:ln>
                  </pic:spPr>
                </pic:pic>
              </a:graphicData>
            </a:graphic>
          </wp:inline>
        </w:drawing>
      </w:r>
    </w:p>
    <w:p w:rsidR="00554043" w:rsidRDefault="00554043"/>
    <w:p w:rsidR="00554043" w:rsidRDefault="00554043" w:rsidP="00554043">
      <w:pPr>
        <w:jc w:val="left"/>
      </w:pPr>
      <w:r>
        <w:rPr>
          <w:rFonts w:hint="eastAsia"/>
        </w:rPr>
        <w:t>グラフ１から、一見、高齢化と医療の伸びは一致しているように見えるが、</w:t>
      </w:r>
      <w:r>
        <w:t>H</w:t>
      </w:r>
      <w:r>
        <w:rPr>
          <w:rFonts w:hint="eastAsia"/>
        </w:rPr>
        <w:t>１３年～２２年を</w:t>
      </w:r>
      <w:r w:rsidR="004241B5">
        <w:rPr>
          <w:rFonts w:hint="eastAsia"/>
        </w:rPr>
        <w:t>見ればわかるように、これら二つの点は全て一致しているわけではない</w:t>
      </w:r>
      <w:r>
        <w:rPr>
          <w:rFonts w:hint="eastAsia"/>
        </w:rPr>
        <w:t>。</w:t>
      </w:r>
      <w:r w:rsidR="00DA266E">
        <w:rPr>
          <w:rFonts w:hint="eastAsia"/>
        </w:rPr>
        <w:t>この原因は、</w:t>
      </w:r>
      <w:r w:rsidR="004241B5">
        <w:rPr>
          <w:rFonts w:hint="eastAsia"/>
        </w:rPr>
        <w:t>当時の自民党が社会保障費削減を進めていたことならびに、日本の経済が比較的好調だったことにより、相対的に比率の数字が小さくなったことが予想される。</w:t>
      </w:r>
    </w:p>
    <w:p w:rsidR="00554043" w:rsidRDefault="00554043" w:rsidP="00554043">
      <w:pPr>
        <w:jc w:val="left"/>
      </w:pPr>
    </w:p>
    <w:p w:rsidR="00554043" w:rsidRDefault="00554043" w:rsidP="00554043">
      <w:pPr>
        <w:jc w:val="left"/>
      </w:pPr>
    </w:p>
    <w:p w:rsidR="00554043" w:rsidRDefault="00554043" w:rsidP="00554043">
      <w:pPr>
        <w:jc w:val="left"/>
      </w:pPr>
    </w:p>
    <w:p w:rsidR="00554043" w:rsidRDefault="00554043" w:rsidP="00554043">
      <w:pPr>
        <w:jc w:val="left"/>
      </w:pPr>
    </w:p>
    <w:p w:rsidR="00DA266E" w:rsidRDefault="00DA266E" w:rsidP="00554043">
      <w:pPr>
        <w:jc w:val="left"/>
      </w:pPr>
    </w:p>
    <w:p w:rsidR="00554043" w:rsidRDefault="00554043" w:rsidP="00554043">
      <w:pPr>
        <w:jc w:val="left"/>
      </w:pPr>
      <w:r>
        <w:rPr>
          <w:rFonts w:hint="eastAsia"/>
        </w:rPr>
        <w:lastRenderedPageBreak/>
        <w:t>２－３　死亡者数の推移に伴う医療費変化のシミュレーション</w:t>
      </w:r>
    </w:p>
    <w:p w:rsidR="00554043" w:rsidRDefault="00554043" w:rsidP="00554043">
      <w:pPr>
        <w:jc w:val="left"/>
      </w:pPr>
    </w:p>
    <w:p w:rsidR="00554043" w:rsidRDefault="00554043" w:rsidP="00554043">
      <w:pPr>
        <w:jc w:val="left"/>
      </w:pPr>
      <w:r>
        <w:rPr>
          <w:rFonts w:hint="eastAsia"/>
        </w:rPr>
        <w:t xml:space="preserve">　前述のように、国民医療費とは死亡直前に一定額かかると考えられている。</w:t>
      </w:r>
    </w:p>
    <w:p w:rsidR="00554043" w:rsidRDefault="00554043" w:rsidP="00554043">
      <w:pPr>
        <w:ind w:firstLineChars="100" w:firstLine="210"/>
        <w:jc w:val="left"/>
      </w:pPr>
      <w:r>
        <w:rPr>
          <w:rFonts w:hint="eastAsia"/>
        </w:rPr>
        <w:t>その前提に基づいて、これからどのように国民医療費が上昇をするか単回帰分析を使い推定をした。</w:t>
      </w:r>
    </w:p>
    <w:p w:rsidR="00554043" w:rsidRDefault="00554043" w:rsidP="00554043">
      <w:pPr>
        <w:ind w:firstLineChars="100" w:firstLine="210"/>
        <w:jc w:val="left"/>
      </w:pPr>
      <w:r>
        <w:rPr>
          <w:rFonts w:hint="eastAsia"/>
        </w:rPr>
        <w:t>下記のグラフ２は、厚生労働省のデータに基づいて、</w:t>
      </w:r>
      <w:r>
        <w:t>1993</w:t>
      </w:r>
      <w:r>
        <w:rPr>
          <w:rFonts w:hint="eastAsia"/>
        </w:rPr>
        <w:t>年から</w:t>
      </w:r>
      <w:r>
        <w:t>2011</w:t>
      </w:r>
      <w:r>
        <w:rPr>
          <w:rFonts w:hint="eastAsia"/>
        </w:rPr>
        <w:t>年の国民医療費と同年の死亡者数の相関を示した図である。決定係数が</w:t>
      </w:r>
      <w:r>
        <w:t>0.938</w:t>
      </w:r>
      <w:r>
        <w:rPr>
          <w:rFonts w:hint="eastAsia"/>
        </w:rPr>
        <w:t>で、回帰式が</w:t>
      </w:r>
      <w:r>
        <w:t>Y=0.325X-1.656</w:t>
      </w:r>
      <w:r>
        <w:rPr>
          <w:rFonts w:hint="eastAsia"/>
        </w:rPr>
        <w:t>であり、死亡者数が１万人増えるごとに国民医療費が約</w:t>
      </w:r>
      <w:r>
        <w:t>3250</w:t>
      </w:r>
      <w:r>
        <w:rPr>
          <w:rFonts w:hint="eastAsia"/>
        </w:rPr>
        <w:t>億円上昇することが判明した。（傾きの</w:t>
      </w:r>
      <w:r>
        <w:t>P</w:t>
      </w:r>
      <w:r>
        <w:rPr>
          <w:rFonts w:hint="eastAsia"/>
        </w:rPr>
        <w:t>値の有意水準は</w:t>
      </w:r>
      <w:r>
        <w:t>P</w:t>
      </w:r>
      <w:r>
        <w:rPr>
          <w:rFonts w:hint="eastAsia"/>
        </w:rPr>
        <w:t>＜</w:t>
      </w:r>
      <w:r>
        <w:t>0.01</w:t>
      </w:r>
      <w:r>
        <w:rPr>
          <w:rFonts w:hint="eastAsia"/>
        </w:rPr>
        <w:t>で有意。）加えて、この回帰式に基づいて厚生労働省が発表している将来の死亡者数の予測（出生中位・死亡中位）から将来の医療費を推定した結果が下のグラフ３である。グラフ２において、死亡者数が医療費と高い相関関係があることが確認できる。</w:t>
      </w:r>
    </w:p>
    <w:p w:rsidR="00554043" w:rsidRDefault="00554043" w:rsidP="00554043">
      <w:pPr>
        <w:jc w:val="center"/>
      </w:pPr>
    </w:p>
    <w:p w:rsidR="00554043" w:rsidRDefault="00554043" w:rsidP="00554043">
      <w:pPr>
        <w:jc w:val="center"/>
      </w:pPr>
    </w:p>
    <w:p w:rsidR="00554043" w:rsidRDefault="00554043" w:rsidP="00554043">
      <w:pPr>
        <w:jc w:val="center"/>
      </w:pPr>
      <w:r>
        <w:rPr>
          <w:rFonts w:hint="eastAsia"/>
        </w:rPr>
        <w:t>グラフ２</w:t>
      </w:r>
      <w:r>
        <w:rPr>
          <w:rStyle w:val="a9"/>
        </w:rPr>
        <w:endnoteReference w:id="5"/>
      </w:r>
    </w:p>
    <w:p w:rsidR="00554043" w:rsidRDefault="00554043"/>
    <w:p w:rsidR="00554043" w:rsidRDefault="00554043">
      <w:r>
        <w:rPr>
          <w:noProof/>
        </w:rPr>
        <w:drawing>
          <wp:inline distT="0" distB="0" distL="0" distR="0" wp14:anchorId="5047FDE3" wp14:editId="74E3C4AE">
            <wp:extent cx="5400040" cy="3639185"/>
            <wp:effectExtent l="0" t="0" r="10160" b="1841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4043" w:rsidRDefault="00554043"/>
    <w:p w:rsidR="00554043" w:rsidRDefault="00554043"/>
    <w:p w:rsidR="00FB2EDD" w:rsidRDefault="00FB2EDD" w:rsidP="00554043">
      <w:pPr>
        <w:jc w:val="center"/>
        <w:rPr>
          <w:kern w:val="0"/>
        </w:rPr>
      </w:pPr>
    </w:p>
    <w:p w:rsidR="00FB2EDD" w:rsidRDefault="00FB2EDD" w:rsidP="00554043">
      <w:pPr>
        <w:jc w:val="center"/>
        <w:rPr>
          <w:kern w:val="0"/>
        </w:rPr>
      </w:pPr>
    </w:p>
    <w:p w:rsidR="00554043" w:rsidRPr="00FB2EDD" w:rsidRDefault="00554043" w:rsidP="00554043">
      <w:pPr>
        <w:jc w:val="center"/>
        <w:rPr>
          <w:kern w:val="0"/>
        </w:rPr>
      </w:pPr>
      <w:r>
        <w:rPr>
          <w:rFonts w:hint="eastAsia"/>
          <w:kern w:val="0"/>
        </w:rPr>
        <w:lastRenderedPageBreak/>
        <w:t>グラフ３</w:t>
      </w:r>
      <w:r w:rsidR="00FB2EDD">
        <w:rPr>
          <w:rFonts w:hint="eastAsia"/>
        </w:rPr>
        <w:t>（国民医療費の将来予測）</w:t>
      </w:r>
      <w:r w:rsidR="00FB2EDD">
        <w:rPr>
          <w:rStyle w:val="a9"/>
        </w:rPr>
        <w:endnoteReference w:id="6"/>
      </w:r>
    </w:p>
    <w:p w:rsidR="00554043" w:rsidRDefault="00554043" w:rsidP="00554043">
      <w:pPr>
        <w:jc w:val="center"/>
        <w:rPr>
          <w:kern w:val="0"/>
        </w:rPr>
      </w:pPr>
    </w:p>
    <w:p w:rsidR="00554043" w:rsidRDefault="00554043" w:rsidP="00554043">
      <w:pPr>
        <w:jc w:val="left"/>
      </w:pPr>
      <w:r>
        <w:rPr>
          <w:noProof/>
        </w:rPr>
        <w:drawing>
          <wp:inline distT="0" distB="0" distL="0" distR="0" wp14:anchorId="60FD3188" wp14:editId="6C622504">
            <wp:extent cx="4581525" cy="2962275"/>
            <wp:effectExtent l="0" t="0" r="9525" b="9525"/>
            <wp:docPr id="7" name="図 7"/>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1525" cy="2962275"/>
                    </a:xfrm>
                    <a:prstGeom prst="rect">
                      <a:avLst/>
                    </a:prstGeom>
                    <a:noFill/>
                    <a:ln>
                      <a:noFill/>
                    </a:ln>
                  </pic:spPr>
                </pic:pic>
              </a:graphicData>
            </a:graphic>
          </wp:inline>
        </w:drawing>
      </w:r>
    </w:p>
    <w:p w:rsidR="00554043" w:rsidRDefault="00554043" w:rsidP="00554043">
      <w:pPr>
        <w:jc w:val="left"/>
      </w:pPr>
    </w:p>
    <w:p w:rsidR="00554043" w:rsidRDefault="00554043" w:rsidP="00554043">
      <w:pPr>
        <w:jc w:val="left"/>
      </w:pPr>
      <w:r>
        <w:rPr>
          <w:rFonts w:hint="eastAsia"/>
        </w:rPr>
        <w:t>グラフ３より２０１０年代から２０３０年代にかけ急速に国民医療費が伸び、その後横ばいもしくは減少に向かっていくことが推測される。</w:t>
      </w:r>
    </w:p>
    <w:p w:rsidR="00554043" w:rsidRDefault="00554043" w:rsidP="00554043">
      <w:pPr>
        <w:jc w:val="left"/>
      </w:pPr>
    </w:p>
    <w:p w:rsidR="00554043" w:rsidRDefault="00554043" w:rsidP="00554043">
      <w:pPr>
        <w:jc w:val="left"/>
      </w:pPr>
    </w:p>
    <w:p w:rsidR="00554043" w:rsidRDefault="00554043" w:rsidP="00554043">
      <w:pPr>
        <w:jc w:val="left"/>
      </w:pPr>
      <w:r>
        <w:rPr>
          <w:rFonts w:hint="eastAsia"/>
        </w:rPr>
        <w:t>２－４　医療費軽減の可能性</w:t>
      </w:r>
    </w:p>
    <w:p w:rsidR="00554043" w:rsidRDefault="00554043" w:rsidP="00554043">
      <w:pPr>
        <w:jc w:val="left"/>
      </w:pPr>
    </w:p>
    <w:p w:rsidR="00554043" w:rsidRDefault="00554043" w:rsidP="00554043">
      <w:pPr>
        <w:jc w:val="left"/>
      </w:pPr>
      <w:r>
        <w:rPr>
          <w:rFonts w:hint="eastAsia"/>
        </w:rPr>
        <w:t xml:space="preserve">　一方で、パーソナルゲノムに基づく、オーダメイドな医療が普及することによる、予防医療の進展は、高度医療社会における費用低減をもたらす可能性がある。</w:t>
      </w:r>
    </w:p>
    <w:p w:rsidR="00554043" w:rsidRDefault="00554043" w:rsidP="00554043">
      <w:pPr>
        <w:ind w:firstLineChars="100" w:firstLine="210"/>
        <w:jc w:val="left"/>
      </w:pPr>
      <w:r>
        <w:rPr>
          <w:rFonts w:hint="eastAsia"/>
        </w:rPr>
        <w:t>例えば、１９４０年代から１９５０年代にかけての抗生物質の開発により、１９５５年当時国民医療費</w:t>
      </w:r>
      <w:r w:rsidR="00FB2EDD">
        <w:rPr>
          <w:rFonts w:hint="eastAsia"/>
        </w:rPr>
        <w:t>の約２５％を占めていた結核医療費が、その後１％前後に減ったこと（広井良典　１９９６）</w:t>
      </w:r>
      <w:r w:rsidR="00FB2EDD">
        <w:rPr>
          <w:rStyle w:val="a9"/>
        </w:rPr>
        <w:endnoteReference w:id="7"/>
      </w:r>
      <w:r>
        <w:rPr>
          <w:rFonts w:hint="eastAsia"/>
        </w:rPr>
        <w:t>などは予防医療がもたらした医療費軽減の成果である。</w:t>
      </w:r>
    </w:p>
    <w:p w:rsidR="00554043" w:rsidRDefault="00554043" w:rsidP="00554043">
      <w:pPr>
        <w:ind w:firstLineChars="100" w:firstLine="210"/>
        <w:jc w:val="left"/>
      </w:pPr>
      <w:r>
        <w:rPr>
          <w:rFonts w:hint="eastAsia"/>
        </w:rPr>
        <w:t xml:space="preserve">他にも、２型糖尿病の場合、ゲノムの遺伝子検査を受けることにより大まかな相対的な発症リスクがわかりはじめている。（フランシス　</w:t>
      </w:r>
      <w:r>
        <w:t>S</w:t>
      </w:r>
      <w:r>
        <w:rPr>
          <w:rFonts w:hint="eastAsia"/>
        </w:rPr>
        <w:t xml:space="preserve">　コリンズ</w:t>
      </w:r>
      <w:r w:rsidR="00FB2EDD">
        <w:rPr>
          <w:rFonts w:hint="eastAsia"/>
        </w:rPr>
        <w:t xml:space="preserve">　２０１１</w:t>
      </w:r>
      <w:r>
        <w:rPr>
          <w:rFonts w:hint="eastAsia"/>
        </w:rPr>
        <w:t>）</w:t>
      </w:r>
      <w:r w:rsidR="00FB2EDD">
        <w:rPr>
          <w:rStyle w:val="a9"/>
        </w:rPr>
        <w:endnoteReference w:id="8"/>
      </w:r>
      <w:r>
        <w:rPr>
          <w:rFonts w:hint="eastAsia"/>
        </w:rPr>
        <w:t>加えて、この２型糖尿病になりやすそうな人に対して生活指導の介入を行うことにより、これらの患者の発症のリスクを大幅に低下させられることも、糖尿病予防プログラム</w:t>
      </w:r>
      <w:r w:rsidR="00FB2EDD">
        <w:rPr>
          <w:rFonts w:hint="eastAsia"/>
        </w:rPr>
        <w:t>が実施した大規模試験により判明した。（</w:t>
      </w:r>
      <w:r>
        <w:rPr>
          <w:rFonts w:hint="eastAsia"/>
        </w:rPr>
        <w:t xml:space="preserve">フランシス　</w:t>
      </w:r>
      <w:r>
        <w:t>S</w:t>
      </w:r>
      <w:r>
        <w:rPr>
          <w:rFonts w:hint="eastAsia"/>
        </w:rPr>
        <w:t xml:space="preserve">　コリンズ　</w:t>
      </w:r>
      <w:r w:rsidR="00FB2EDD">
        <w:rPr>
          <w:rFonts w:hint="eastAsia"/>
        </w:rPr>
        <w:t>２０１１</w:t>
      </w:r>
      <w:r>
        <w:rPr>
          <w:rFonts w:hint="eastAsia"/>
        </w:rPr>
        <w:t>）</w:t>
      </w:r>
      <w:r w:rsidR="00D14A55">
        <w:rPr>
          <w:rStyle w:val="a9"/>
        </w:rPr>
        <w:endnoteReference w:id="9"/>
      </w:r>
    </w:p>
    <w:p w:rsidR="00554043" w:rsidRDefault="00554043" w:rsidP="00554043">
      <w:pPr>
        <w:ind w:firstLineChars="100" w:firstLine="210"/>
        <w:jc w:val="left"/>
      </w:pPr>
      <w:r>
        <w:rPr>
          <w:rFonts w:hint="eastAsia"/>
        </w:rPr>
        <w:t>つまり、２型糖尿病とは予防が極めて効果的な疾病であり、遺伝子検査によりそれらの発症リスクを前もって知ることは、この２型糖尿病の発症率を小さくできる可能性が大きいと同時に、それに関する医療費の低減も達成し得るのである。</w:t>
      </w:r>
    </w:p>
    <w:p w:rsidR="00554043" w:rsidRDefault="00554043" w:rsidP="00554043">
      <w:pPr>
        <w:ind w:firstLineChars="100" w:firstLine="210"/>
        <w:jc w:val="left"/>
      </w:pPr>
      <w:r>
        <w:rPr>
          <w:rFonts w:hint="eastAsia"/>
        </w:rPr>
        <w:t>これは、２型糖尿病の同様に、遺伝子解析により相対的リスクが計測可能でかつ、生活</w:t>
      </w:r>
      <w:r>
        <w:rPr>
          <w:rFonts w:hint="eastAsia"/>
        </w:rPr>
        <w:lastRenderedPageBreak/>
        <w:t>指導の介入により予防が可能な疾病がさらに解明されれば、これもまた、医療費軽減は可能である。</w:t>
      </w:r>
    </w:p>
    <w:p w:rsidR="00554043" w:rsidRDefault="00554043" w:rsidP="00554043">
      <w:pPr>
        <w:jc w:val="left"/>
      </w:pPr>
      <w:r>
        <w:rPr>
          <w:rFonts w:hint="eastAsia"/>
        </w:rPr>
        <w:t xml:space="preserve">　</w:t>
      </w:r>
    </w:p>
    <w:p w:rsidR="00554043" w:rsidRDefault="00554043" w:rsidP="00554043">
      <w:pPr>
        <w:ind w:firstLineChars="100" w:firstLine="210"/>
        <w:jc w:val="left"/>
      </w:pPr>
    </w:p>
    <w:p w:rsidR="00554043" w:rsidRDefault="00554043" w:rsidP="00554043">
      <w:pPr>
        <w:ind w:firstLineChars="100" w:firstLine="210"/>
        <w:jc w:val="left"/>
      </w:pPr>
      <w:r>
        <w:rPr>
          <w:rFonts w:hint="eastAsia"/>
        </w:rPr>
        <w:t>２－５　介護費負担の増加</w:t>
      </w:r>
    </w:p>
    <w:p w:rsidR="00554043" w:rsidRDefault="00554043" w:rsidP="00554043">
      <w:pPr>
        <w:jc w:val="left"/>
      </w:pPr>
    </w:p>
    <w:p w:rsidR="00554043" w:rsidRDefault="00554043" w:rsidP="00554043">
      <w:pPr>
        <w:jc w:val="left"/>
      </w:pPr>
      <w:r>
        <w:rPr>
          <w:rFonts w:hint="eastAsia"/>
        </w:rPr>
        <w:t xml:space="preserve">　財政的な面でみた場合、介護費</w:t>
      </w:r>
      <w:r>
        <w:rPr>
          <w:rStyle w:val="a8"/>
        </w:rPr>
        <w:t/>
      </w:r>
      <w:r>
        <w:rPr>
          <w:rFonts w:hint="eastAsia"/>
        </w:rPr>
        <w:t>の負担増加も見逃してはいけない。介護費は介護保険としての公費負担に加え、個人ならびに企業の負担の元に成り立っている。よって、高度医療社会化によって医療費増加ならびに平均寿命の伸長する場合、同時に、この個人への社会保険負担が増す可能性があることも否定できない。</w:t>
      </w:r>
    </w:p>
    <w:p w:rsidR="00554043" w:rsidRDefault="00554043" w:rsidP="00554043">
      <w:pPr>
        <w:jc w:val="left"/>
      </w:pPr>
      <w:r>
        <w:rPr>
          <w:rFonts w:hint="eastAsia"/>
        </w:rPr>
        <w:t xml:space="preserve">　グラフ４は</w:t>
      </w:r>
      <w:r>
        <w:t>2000</w:t>
      </w:r>
      <w:r>
        <w:rPr>
          <w:rFonts w:hint="eastAsia"/>
        </w:rPr>
        <w:t>年から</w:t>
      </w:r>
      <w:r>
        <w:t>2012</w:t>
      </w:r>
      <w:r>
        <w:rPr>
          <w:rFonts w:hint="eastAsia"/>
        </w:rPr>
        <w:t>年までの介護費の推移である。傾きの大小はあれ、上昇傾向にあることが見て取れる。</w:t>
      </w:r>
    </w:p>
    <w:p w:rsidR="00554043" w:rsidRDefault="00554043" w:rsidP="00554043"/>
    <w:p w:rsidR="00554043" w:rsidRDefault="00554043" w:rsidP="00554043">
      <w:pPr>
        <w:jc w:val="center"/>
      </w:pPr>
      <w:r>
        <w:rPr>
          <w:rFonts w:hint="eastAsia"/>
        </w:rPr>
        <w:t>グラフ４</w:t>
      </w:r>
      <w:r>
        <w:rPr>
          <w:rStyle w:val="a9"/>
        </w:rPr>
        <w:endnoteReference w:id="10"/>
      </w:r>
    </w:p>
    <w:p w:rsidR="00554043" w:rsidRDefault="00554043" w:rsidP="00554043">
      <w:pPr>
        <w:jc w:val="center"/>
      </w:pPr>
    </w:p>
    <w:p w:rsidR="00554043" w:rsidRDefault="00554043" w:rsidP="00554043">
      <w:pPr>
        <w:jc w:val="left"/>
      </w:pPr>
      <w:r>
        <w:rPr>
          <w:noProof/>
        </w:rPr>
        <w:drawing>
          <wp:inline distT="0" distB="0" distL="0" distR="0" wp14:anchorId="0BE85110" wp14:editId="6A7A7B59">
            <wp:extent cx="4829175" cy="3000375"/>
            <wp:effectExtent l="0" t="0" r="28575"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4043" w:rsidRDefault="00554043" w:rsidP="00554043">
      <w:pPr>
        <w:jc w:val="left"/>
      </w:pPr>
    </w:p>
    <w:p w:rsidR="00554043" w:rsidRDefault="00554043" w:rsidP="00554043">
      <w:pPr>
        <w:jc w:val="left"/>
      </w:pPr>
    </w:p>
    <w:p w:rsidR="00554043" w:rsidRDefault="00554043" w:rsidP="00554043">
      <w:r>
        <w:rPr>
          <w:rFonts w:hint="eastAsia"/>
        </w:rPr>
        <w:t>グラフ４から２０００年代から現在にかけて介護費が右肩上がりであることが見て取れる。</w:t>
      </w:r>
    </w:p>
    <w:p w:rsidR="00554043" w:rsidRDefault="00554043" w:rsidP="00554043">
      <w:r>
        <w:rPr>
          <w:rFonts w:hint="eastAsia"/>
        </w:rPr>
        <w:t xml:space="preserve">　ただ、２００５年から２００８年に関し</w:t>
      </w:r>
      <w:r w:rsidR="00261166">
        <w:rPr>
          <w:rFonts w:hint="eastAsia"/>
        </w:rPr>
        <w:t>ては一時的に介護費が横ばいに近くなっている。</w:t>
      </w:r>
    </w:p>
    <w:p w:rsidR="00261166" w:rsidRDefault="00821FA7" w:rsidP="00554043">
      <w:r>
        <w:rPr>
          <w:rFonts w:hint="eastAsia"/>
        </w:rPr>
        <w:t xml:space="preserve">　これは、２００６年の介護報酬の改定が影響していることが予想</w:t>
      </w:r>
      <w:bookmarkStart w:id="0" w:name="_GoBack"/>
      <w:bookmarkEnd w:id="0"/>
      <w:r w:rsidR="00261166">
        <w:rPr>
          <w:rFonts w:hint="eastAsia"/>
        </w:rPr>
        <w:t>される。</w:t>
      </w:r>
    </w:p>
    <w:p w:rsidR="00554043" w:rsidRDefault="00554043" w:rsidP="00554043"/>
    <w:p w:rsidR="00554043" w:rsidRDefault="00554043" w:rsidP="00554043"/>
    <w:p w:rsidR="00554043" w:rsidRDefault="00554043" w:rsidP="00554043">
      <w:pPr>
        <w:jc w:val="left"/>
      </w:pPr>
      <w:r>
        <w:rPr>
          <w:rFonts w:hint="eastAsia"/>
        </w:rPr>
        <w:lastRenderedPageBreak/>
        <w:t>２－６　介護費低減の可能性</w:t>
      </w:r>
    </w:p>
    <w:p w:rsidR="00554043" w:rsidRDefault="00554043" w:rsidP="00554043">
      <w:pPr>
        <w:jc w:val="left"/>
      </w:pPr>
      <w:r>
        <w:rPr>
          <w:rFonts w:hint="eastAsia"/>
        </w:rPr>
        <w:t xml:space="preserve">　</w:t>
      </w:r>
    </w:p>
    <w:p w:rsidR="00554043" w:rsidRDefault="00554043" w:rsidP="00554043">
      <w:pPr>
        <w:ind w:firstLineChars="100" w:firstLine="210"/>
        <w:jc w:val="left"/>
      </w:pPr>
      <w:r>
        <w:rPr>
          <w:rFonts w:hint="eastAsia"/>
        </w:rPr>
        <w:t>将来的な介護費の低下もあり得る。なぜなら、介護費は、受給者の人数に比例することが考えられるからである。</w:t>
      </w:r>
    </w:p>
    <w:p w:rsidR="00554043" w:rsidRDefault="00554043" w:rsidP="00554043">
      <w:pPr>
        <w:ind w:firstLineChars="100" w:firstLine="210"/>
        <w:jc w:val="left"/>
      </w:pPr>
      <w:r>
        <w:rPr>
          <w:rFonts w:hint="eastAsia"/>
        </w:rPr>
        <w:t>下のグラフ５は６５歳以上の５年ごとの年代並びに、男女別での受給者の割合を示したものである。さらにその下のグラフ６は、そのデータから将来の推計人口（出生中位・死亡中位）を当てはめ、将来の介護費の予測をし、グラフとしたものである。</w:t>
      </w:r>
    </w:p>
    <w:p w:rsidR="00554043" w:rsidRDefault="00554043" w:rsidP="00554043">
      <w:pPr>
        <w:jc w:val="left"/>
      </w:pPr>
      <w:r>
        <w:rPr>
          <w:rFonts w:hint="eastAsia"/>
        </w:rPr>
        <w:t xml:space="preserve">　見てわかるとおり、２０１０年代から３０年代にかけて急激な介護費の伸びが予想されるが、その後は伸びが鈍化または減少になることがわかる。これは受給者の絶対数が減ることから起こる現象であり、将来的には介護費の減少につながると考えられる</w:t>
      </w:r>
      <w:r w:rsidR="006B59FB">
        <w:rPr>
          <w:rFonts w:hint="eastAsia"/>
        </w:rPr>
        <w:t>。</w:t>
      </w:r>
    </w:p>
    <w:p w:rsidR="00554043" w:rsidRDefault="00554043" w:rsidP="00554043">
      <w:pPr>
        <w:jc w:val="left"/>
      </w:pPr>
      <w:r>
        <w:rPr>
          <w:rFonts w:hint="eastAsia"/>
        </w:rPr>
        <w:t xml:space="preserve">　加えて、医療高度化に伴う技術の進歩も、前述の医療費軽減の例と同じように、介護費削減になり得るものである。</w:t>
      </w:r>
    </w:p>
    <w:p w:rsidR="00554043" w:rsidRDefault="00554043" w:rsidP="00554043"/>
    <w:p w:rsidR="00554043" w:rsidRDefault="00554043" w:rsidP="00554043">
      <w:pPr>
        <w:jc w:val="center"/>
      </w:pPr>
      <w:r>
        <w:rPr>
          <w:rFonts w:hint="eastAsia"/>
        </w:rPr>
        <w:t>グラフ５</w:t>
      </w:r>
      <w:r>
        <w:rPr>
          <w:rStyle w:val="a9"/>
        </w:rPr>
        <w:endnoteReference w:id="11"/>
      </w:r>
    </w:p>
    <w:p w:rsidR="00554043" w:rsidRDefault="00554043" w:rsidP="00554043">
      <w:pPr>
        <w:jc w:val="left"/>
      </w:pPr>
    </w:p>
    <w:p w:rsidR="00554043" w:rsidRDefault="00554043" w:rsidP="00554043">
      <w:pPr>
        <w:jc w:val="left"/>
      </w:pPr>
      <w:r>
        <w:rPr>
          <w:noProof/>
        </w:rPr>
        <w:drawing>
          <wp:inline distT="0" distB="0" distL="0" distR="0" wp14:anchorId="38AD8862" wp14:editId="7455D71A">
            <wp:extent cx="5391150" cy="3657600"/>
            <wp:effectExtent l="0" t="0" r="0" b="0"/>
            <wp:docPr id="8" name="図 8"/>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3657600"/>
                    </a:xfrm>
                    <a:prstGeom prst="rect">
                      <a:avLst/>
                    </a:prstGeom>
                    <a:noFill/>
                    <a:ln>
                      <a:noFill/>
                    </a:ln>
                  </pic:spPr>
                </pic:pic>
              </a:graphicData>
            </a:graphic>
          </wp:inline>
        </w:drawing>
      </w:r>
    </w:p>
    <w:p w:rsidR="00D14A55" w:rsidRDefault="00D14A55" w:rsidP="00554043">
      <w:pPr>
        <w:jc w:val="center"/>
      </w:pPr>
    </w:p>
    <w:p w:rsidR="00D14A55" w:rsidRDefault="00D14A55" w:rsidP="00554043">
      <w:pPr>
        <w:jc w:val="center"/>
      </w:pPr>
    </w:p>
    <w:p w:rsidR="00D14A55" w:rsidRDefault="00D14A55" w:rsidP="00554043">
      <w:pPr>
        <w:jc w:val="center"/>
      </w:pPr>
    </w:p>
    <w:p w:rsidR="00D14A55" w:rsidRDefault="00D14A55" w:rsidP="00554043">
      <w:pPr>
        <w:jc w:val="center"/>
      </w:pPr>
    </w:p>
    <w:p w:rsidR="00D14A55" w:rsidRDefault="00D14A55" w:rsidP="00554043">
      <w:pPr>
        <w:jc w:val="center"/>
      </w:pPr>
    </w:p>
    <w:p w:rsidR="00554043" w:rsidRDefault="00554043" w:rsidP="00554043">
      <w:pPr>
        <w:jc w:val="center"/>
      </w:pPr>
      <w:r>
        <w:rPr>
          <w:rFonts w:hint="eastAsia"/>
        </w:rPr>
        <w:lastRenderedPageBreak/>
        <w:t>グラフ６</w:t>
      </w:r>
      <w:r>
        <w:rPr>
          <w:rStyle w:val="a9"/>
        </w:rPr>
        <w:endnoteReference w:id="12"/>
      </w:r>
    </w:p>
    <w:p w:rsidR="00554043" w:rsidRDefault="00554043" w:rsidP="00554043">
      <w:pPr>
        <w:jc w:val="left"/>
      </w:pPr>
    </w:p>
    <w:p w:rsidR="00554043" w:rsidRDefault="00554043" w:rsidP="00554043">
      <w:pPr>
        <w:jc w:val="left"/>
      </w:pPr>
      <w:r>
        <w:rPr>
          <w:noProof/>
        </w:rPr>
        <w:drawing>
          <wp:inline distT="0" distB="0" distL="0" distR="0" wp14:anchorId="1C29EB38" wp14:editId="0F31970B">
            <wp:extent cx="4953000" cy="2962275"/>
            <wp:effectExtent l="0" t="0" r="19050"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4043" w:rsidRDefault="00554043" w:rsidP="00554043">
      <w:pPr>
        <w:jc w:val="left"/>
      </w:pPr>
    </w:p>
    <w:p w:rsidR="00554043" w:rsidRDefault="00554043" w:rsidP="00554043">
      <w:pPr>
        <w:jc w:val="left"/>
      </w:pPr>
      <w:r>
        <w:rPr>
          <w:rFonts w:hint="eastAsia"/>
        </w:rPr>
        <w:t>グラフ６は、（∑（各年代の将来推計人口×グラフ５における各年代の受給率））を男女別でまとめたあとに合計し、５年ごとに推計を出したものである。</w:t>
      </w:r>
    </w:p>
    <w:p w:rsidR="00554043" w:rsidRDefault="00554043" w:rsidP="00554043">
      <w:pPr>
        <w:jc w:val="left"/>
      </w:pPr>
      <w:r>
        <w:rPr>
          <w:rFonts w:hint="eastAsia"/>
        </w:rPr>
        <w:t xml:space="preserve">　２０３０年代までは、高齢者人口の増加とともに介護費が急速に伸びていくことが予想されるが、その後は伸びの傾きは横ばいもしくはゆるやかに変化していくことが予想される。</w:t>
      </w:r>
    </w:p>
    <w:p w:rsidR="00554043" w:rsidRDefault="00554043" w:rsidP="00554043">
      <w:pPr>
        <w:jc w:val="left"/>
      </w:pPr>
    </w:p>
    <w:p w:rsidR="00554043" w:rsidRDefault="00C60DD9" w:rsidP="00554043">
      <w:pPr>
        <w:jc w:val="left"/>
      </w:pPr>
      <w:r>
        <w:rPr>
          <w:rFonts w:hint="eastAsia"/>
        </w:rPr>
        <w:t>３．</w:t>
      </w:r>
      <w:r w:rsidR="00554043" w:rsidRPr="00C60DD9">
        <w:rPr>
          <w:rFonts w:hint="eastAsia"/>
          <w:u w:val="single"/>
        </w:rPr>
        <w:t>終末期医療のありかた</w:t>
      </w:r>
      <w:r>
        <w:rPr>
          <w:rFonts w:hint="eastAsia"/>
          <w:u w:val="single"/>
        </w:rPr>
        <w:t xml:space="preserve">　　　　　　　　　　　　　　　　　　　　　　　　　　　　</w:t>
      </w:r>
    </w:p>
    <w:p w:rsidR="00554043" w:rsidRDefault="00554043" w:rsidP="00554043">
      <w:pPr>
        <w:jc w:val="left"/>
      </w:pPr>
    </w:p>
    <w:p w:rsidR="00554043" w:rsidRDefault="00554043" w:rsidP="00554043">
      <w:pPr>
        <w:jc w:val="left"/>
      </w:pPr>
      <w:r>
        <w:rPr>
          <w:rFonts w:hint="eastAsia"/>
        </w:rPr>
        <w:t xml:space="preserve">　先に述べた高度医療社会においては、今まで以上に寿命の幅をコントロールできるようになる世の中になるものと考える。そこで、私は、人間の死とどのように我々が折り合いをつけていかなければならないのか考える必要があると考える。</w:t>
      </w:r>
    </w:p>
    <w:p w:rsidR="00554043" w:rsidRDefault="00554043" w:rsidP="00554043">
      <w:pPr>
        <w:jc w:val="left"/>
      </w:pPr>
      <w:r>
        <w:rPr>
          <w:rFonts w:hint="eastAsia"/>
        </w:rPr>
        <w:t xml:space="preserve">　一つは、経済的面からみた生と死の線引き。だが、医療は市場経済に完全に依存することが難しいので、そこでカバーできない部分は、倫理・哲学的な面から見て、死生観の再構築を考え、下記から死の定義を考えていきたい。</w:t>
      </w:r>
    </w:p>
    <w:p w:rsidR="00554043" w:rsidRDefault="00554043" w:rsidP="00554043">
      <w:pPr>
        <w:jc w:val="left"/>
      </w:pPr>
    </w:p>
    <w:p w:rsidR="00554043" w:rsidRDefault="00554043" w:rsidP="00554043">
      <w:pPr>
        <w:jc w:val="left"/>
      </w:pPr>
    </w:p>
    <w:p w:rsidR="00554043" w:rsidRDefault="00554043" w:rsidP="00554043">
      <w:pPr>
        <w:jc w:val="left"/>
      </w:pPr>
      <w:r>
        <w:rPr>
          <w:rFonts w:hint="eastAsia"/>
        </w:rPr>
        <w:t>３－１　経済的な面からみた終末期医療のありかた（</w:t>
      </w:r>
      <w:r>
        <w:t>QALY</w:t>
      </w:r>
      <w:r>
        <w:rPr>
          <w:rFonts w:hint="eastAsia"/>
        </w:rPr>
        <w:t xml:space="preserve">などを参考に）　</w:t>
      </w:r>
    </w:p>
    <w:p w:rsidR="00554043" w:rsidRDefault="00554043" w:rsidP="00554043">
      <w:pPr>
        <w:jc w:val="left"/>
      </w:pPr>
      <w:r>
        <w:rPr>
          <w:rFonts w:hint="eastAsia"/>
        </w:rPr>
        <w:t xml:space="preserve">　　</w:t>
      </w:r>
    </w:p>
    <w:p w:rsidR="00554043" w:rsidRDefault="00554043" w:rsidP="00554043">
      <w:pPr>
        <w:jc w:val="left"/>
      </w:pPr>
      <w:r>
        <w:rPr>
          <w:rFonts w:hint="eastAsia"/>
        </w:rPr>
        <w:t xml:space="preserve">　実は、国の医療費負担を含めた財政負担介護費や年金負担を簡単に削減できる方法は存在する。それは、タバコ税の値下げである。これにより、タバコの需要増が平均寿命の減</w:t>
      </w:r>
      <w:r>
        <w:rPr>
          <w:rFonts w:hint="eastAsia"/>
        </w:rPr>
        <w:lastRenderedPageBreak/>
        <w:t>少を引き起こし国の介護費ならびに年金の負担が削減できてしまうのである。</w:t>
      </w:r>
    </w:p>
    <w:p w:rsidR="00554043" w:rsidRDefault="00554043" w:rsidP="00554043">
      <w:pPr>
        <w:jc w:val="left"/>
      </w:pPr>
      <w:r>
        <w:rPr>
          <w:rFonts w:hint="eastAsia"/>
        </w:rPr>
        <w:t xml:space="preserve">　しかし、それは我々の価値観と合うものだろうか。恐らく、多くの人がノーと答えるだろう。実際、医療経済・政策とは完全に市場経済に依存することは現実的ではないがゆえ、医療の「制度改革」だけでなく「意識改革」も行わなければならないのである。</w:t>
      </w:r>
    </w:p>
    <w:p w:rsidR="00554043" w:rsidRDefault="00554043" w:rsidP="00554043">
      <w:pPr>
        <w:jc w:val="left"/>
      </w:pPr>
      <w:r>
        <w:rPr>
          <w:rFonts w:hint="eastAsia"/>
        </w:rPr>
        <w:t xml:space="preserve">　だが、その中にも、経済的視点から見て医療政策への資源の適正な分配を目指した制度が存在する。それが、近年イギリスなどで医療政策の一部に導入されているものが</w:t>
      </w:r>
      <w:r>
        <w:t>QALY</w:t>
      </w:r>
      <w:r>
        <w:rPr>
          <w:rFonts w:hint="eastAsia"/>
        </w:rPr>
        <w:t>である。</w:t>
      </w:r>
      <w:r>
        <w:t>QALY</w:t>
      </w:r>
      <w:r>
        <w:rPr>
          <w:rFonts w:hint="eastAsia"/>
        </w:rPr>
        <w:t>とは生活の質を考慮した生存期間という意味であり。式で表すと、</w:t>
      </w:r>
    </w:p>
    <w:p w:rsidR="00554043" w:rsidRDefault="00554043" w:rsidP="00554043">
      <w:r>
        <w:t>QALY</w:t>
      </w:r>
      <w:r>
        <w:rPr>
          <w:rFonts w:hint="eastAsia"/>
        </w:rPr>
        <w:t>＝</w:t>
      </w:r>
      <w:r>
        <w:t>Y</w:t>
      </w:r>
      <w:r>
        <w:rPr>
          <w:rFonts w:hint="eastAsia"/>
        </w:rPr>
        <w:t>（生存期間）×</w:t>
      </w:r>
      <w:r>
        <w:t>U</w:t>
      </w:r>
      <w:r>
        <w:rPr>
          <w:rFonts w:hint="eastAsia"/>
        </w:rPr>
        <w:t>（効用値）（</w:t>
      </w:r>
      <w:r>
        <w:t>U</w:t>
      </w:r>
      <w:r>
        <w:rPr>
          <w:rFonts w:hint="eastAsia"/>
        </w:rPr>
        <w:t>は完全な健康が１で死亡が０であり１≧</w:t>
      </w:r>
      <w:r>
        <w:t>U</w:t>
      </w:r>
      <w:r>
        <w:rPr>
          <w:rFonts w:hint="eastAsia"/>
        </w:rPr>
        <w:t>≧０となる）で表される。</w:t>
      </w:r>
    </w:p>
    <w:p w:rsidR="00554043" w:rsidRDefault="00554043" w:rsidP="00554043">
      <w:pPr>
        <w:jc w:val="left"/>
      </w:pPr>
      <w:r>
        <w:rPr>
          <w:rFonts w:hint="eastAsia"/>
        </w:rPr>
        <w:t xml:space="preserve">　例えば、</w:t>
      </w:r>
      <w:r>
        <w:t>A</w:t>
      </w:r>
      <w:r>
        <w:rPr>
          <w:rFonts w:hint="eastAsia"/>
        </w:rPr>
        <w:t>が治療を受け、生存期間が１０年延長したとし、その時の健康状態、つまり効用値が０．７だった場合は、１０×０．７で</w:t>
      </w:r>
      <w:r>
        <w:t>QALY</w:t>
      </w:r>
      <w:r>
        <w:rPr>
          <w:rFonts w:hint="eastAsia"/>
        </w:rPr>
        <w:t>は７と判断される。つまり、健康状態が０．１で１０年生きることと、健康状態１で１年生きることは全く同じ</w:t>
      </w:r>
      <w:r>
        <w:t>QALY</w:t>
      </w:r>
      <w:r>
        <w:rPr>
          <w:rFonts w:hint="eastAsia"/>
        </w:rPr>
        <w:t>となるのである。</w:t>
      </w:r>
    </w:p>
    <w:p w:rsidR="00554043" w:rsidRDefault="00554043" w:rsidP="00554043">
      <w:pPr>
        <w:jc w:val="left"/>
      </w:pPr>
      <w:r>
        <w:rPr>
          <w:rFonts w:hint="eastAsia"/>
        </w:rPr>
        <w:t xml:space="preserve">　現在、イギリスなど諸外国では、この</w:t>
      </w:r>
      <w:r w:rsidR="00C1247B">
        <w:rPr>
          <w:rFonts w:hint="eastAsia"/>
        </w:rPr>
        <w:t>QOL</w:t>
      </w:r>
      <w:r w:rsidR="00C1247B">
        <w:rPr>
          <w:rFonts w:hint="eastAsia"/>
        </w:rPr>
        <w:t>を</w:t>
      </w:r>
      <w:r>
        <w:rPr>
          <w:rFonts w:hint="eastAsia"/>
        </w:rPr>
        <w:t>１あげることに必要な費用に上限を設けることにより医療費の抑制を図っている</w:t>
      </w:r>
      <w:r w:rsidR="00D14A55">
        <w:rPr>
          <w:rFonts w:hint="eastAsia"/>
        </w:rPr>
        <w:t>（飛田英子　２０１３）</w:t>
      </w:r>
      <w:r>
        <w:rPr>
          <w:rStyle w:val="a9"/>
        </w:rPr>
        <w:endnoteReference w:id="13"/>
      </w:r>
      <w:r>
        <w:rPr>
          <w:rFonts w:hint="eastAsia"/>
        </w:rPr>
        <w:t>。</w:t>
      </w:r>
    </w:p>
    <w:p w:rsidR="00554043" w:rsidRDefault="00554043" w:rsidP="00554043">
      <w:pPr>
        <w:jc w:val="left"/>
      </w:pPr>
      <w:r>
        <w:rPr>
          <w:rFonts w:hint="eastAsia"/>
        </w:rPr>
        <w:t xml:space="preserve">　ただ、これらのやり方に、倫理的に問題があるという意見もある。</w:t>
      </w:r>
    </w:p>
    <w:p w:rsidR="00554043" w:rsidRDefault="00554043" w:rsidP="00554043">
      <w:pPr>
        <w:ind w:firstLineChars="100" w:firstLine="210"/>
        <w:jc w:val="left"/>
      </w:pPr>
      <w:r>
        <w:rPr>
          <w:rFonts w:hint="eastAsia"/>
        </w:rPr>
        <w:t>例えば、植物状態の人間は効用値が限りなく０に近いがゆえ、</w:t>
      </w:r>
      <w:r w:rsidR="00C60DD9">
        <w:t>Q</w:t>
      </w:r>
      <w:r w:rsidR="00C60DD9">
        <w:rPr>
          <w:rFonts w:hint="eastAsia"/>
        </w:rPr>
        <w:t>OL</w:t>
      </w:r>
      <w:r>
        <w:rPr>
          <w:rFonts w:hint="eastAsia"/>
        </w:rPr>
        <w:t>が１になることが考えにくく、治療は不要となる。その他では、患者数が少ない疾病においても、新薬の開発費用が高くなるがゆえ、</w:t>
      </w:r>
      <w:r w:rsidR="00C60DD9">
        <w:t>Q</w:t>
      </w:r>
      <w:r w:rsidR="00C60DD9">
        <w:rPr>
          <w:rFonts w:hint="eastAsia"/>
        </w:rPr>
        <w:t>OL</w:t>
      </w:r>
      <w:r>
        <w:rPr>
          <w:rFonts w:hint="eastAsia"/>
        </w:rPr>
        <w:t>を１あげる際に基準として定めた治療費用の上限を超えてしまう可能性が高く、このシステムの導入によりそれらの人への治療がないがしろにされてしまう危険性がある。</w:t>
      </w:r>
    </w:p>
    <w:p w:rsidR="00554043" w:rsidRDefault="00554043" w:rsidP="00554043">
      <w:pPr>
        <w:jc w:val="left"/>
      </w:pPr>
      <w:r>
        <w:rPr>
          <w:rFonts w:hint="eastAsia"/>
        </w:rPr>
        <w:t xml:space="preserve">　やはり、この仕組みもあくまで医療政策の保険適用を決める際の一つの基準として考えるべき（</w:t>
      </w:r>
      <w:r>
        <w:rPr>
          <w:rFonts w:hint="eastAsia"/>
          <w:kern w:val="0"/>
          <w:sz w:val="20"/>
          <w:szCs w:val="20"/>
        </w:rPr>
        <w:t>兪</w:t>
      </w:r>
      <w:r>
        <w:rPr>
          <w:kern w:val="0"/>
          <w:sz w:val="20"/>
          <w:szCs w:val="20"/>
        </w:rPr>
        <w:t xml:space="preserve"> </w:t>
      </w:r>
      <w:r w:rsidR="00D14A55">
        <w:rPr>
          <w:rFonts w:hint="eastAsia"/>
          <w:kern w:val="0"/>
          <w:sz w:val="20"/>
          <w:szCs w:val="20"/>
        </w:rPr>
        <w:t>炳匡　２００６</w:t>
      </w:r>
      <w:r>
        <w:rPr>
          <w:rFonts w:hint="eastAsia"/>
          <w:kern w:val="0"/>
          <w:sz w:val="20"/>
          <w:szCs w:val="20"/>
        </w:rPr>
        <w:t>）</w:t>
      </w:r>
      <w:r w:rsidR="00D14A55">
        <w:rPr>
          <w:rStyle w:val="a9"/>
          <w:kern w:val="0"/>
          <w:sz w:val="20"/>
          <w:szCs w:val="20"/>
        </w:rPr>
        <w:endnoteReference w:id="14"/>
      </w:r>
      <w:r>
        <w:rPr>
          <w:rFonts w:hint="eastAsia"/>
        </w:rPr>
        <w:t>であり、最終的な持続的な高度医療社会を維持するためには、これら経済的見地のみでなく倫理的見地から見た死生観の再構築、つまり新しい死の定義のようなものを作らなければいけないのが倫理・哲学的な点から見て取れるだろう。</w:t>
      </w:r>
    </w:p>
    <w:p w:rsidR="00554043" w:rsidRDefault="00554043" w:rsidP="00554043">
      <w:pPr>
        <w:jc w:val="left"/>
      </w:pPr>
    </w:p>
    <w:p w:rsidR="00554043" w:rsidRDefault="00554043" w:rsidP="00554043">
      <w:pPr>
        <w:jc w:val="center"/>
      </w:pPr>
    </w:p>
    <w:p w:rsidR="00554043" w:rsidRDefault="00554043" w:rsidP="00554043">
      <w:pPr>
        <w:jc w:val="center"/>
      </w:pPr>
    </w:p>
    <w:p w:rsidR="00554043" w:rsidRDefault="00554043" w:rsidP="00554043">
      <w:pPr>
        <w:jc w:val="center"/>
      </w:pPr>
    </w:p>
    <w:p w:rsidR="00554043" w:rsidRDefault="00554043" w:rsidP="00554043">
      <w:pPr>
        <w:jc w:val="center"/>
      </w:pPr>
    </w:p>
    <w:p w:rsidR="00554043" w:rsidRDefault="00554043" w:rsidP="00554043">
      <w:pPr>
        <w:jc w:val="center"/>
      </w:pPr>
    </w:p>
    <w:p w:rsidR="00554043" w:rsidRDefault="00554043" w:rsidP="00554043">
      <w:pPr>
        <w:jc w:val="center"/>
      </w:pPr>
    </w:p>
    <w:p w:rsidR="00554043" w:rsidRDefault="00554043" w:rsidP="00554043">
      <w:pPr>
        <w:jc w:val="center"/>
      </w:pPr>
    </w:p>
    <w:p w:rsidR="00554043" w:rsidRDefault="00554043" w:rsidP="00554043">
      <w:pPr>
        <w:jc w:val="center"/>
      </w:pPr>
    </w:p>
    <w:p w:rsidR="00554043" w:rsidRDefault="00554043" w:rsidP="00554043">
      <w:pPr>
        <w:jc w:val="center"/>
      </w:pPr>
    </w:p>
    <w:p w:rsidR="00D14A55" w:rsidRDefault="00D14A55" w:rsidP="00554043">
      <w:pPr>
        <w:jc w:val="center"/>
      </w:pPr>
    </w:p>
    <w:p w:rsidR="00554043" w:rsidRDefault="00554043" w:rsidP="00554043">
      <w:pPr>
        <w:jc w:val="center"/>
      </w:pPr>
      <w:r>
        <w:rPr>
          <w:rFonts w:hint="eastAsia"/>
        </w:rPr>
        <w:lastRenderedPageBreak/>
        <w:t>図１</w:t>
      </w:r>
      <w:r>
        <w:rPr>
          <w:rStyle w:val="a9"/>
        </w:rPr>
        <w:endnoteReference w:id="15"/>
      </w:r>
    </w:p>
    <w:p w:rsidR="00554043" w:rsidRDefault="00554043" w:rsidP="00554043">
      <w:pPr>
        <w:jc w:val="left"/>
      </w:pPr>
    </w:p>
    <w:p w:rsidR="00554043" w:rsidRDefault="00554043" w:rsidP="00554043">
      <w:pPr>
        <w:jc w:val="left"/>
      </w:pPr>
      <w:r>
        <w:rPr>
          <w:noProof/>
        </w:rPr>
        <w:drawing>
          <wp:inline distT="0" distB="0" distL="0" distR="0" wp14:anchorId="398F082C" wp14:editId="3F395FF8">
            <wp:extent cx="4829175" cy="3162300"/>
            <wp:effectExtent l="0" t="0" r="9525" b="0"/>
            <wp:docPr id="5" name="図 5"/>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9175" cy="3162300"/>
                    </a:xfrm>
                    <a:prstGeom prst="rect">
                      <a:avLst/>
                    </a:prstGeom>
                    <a:noFill/>
                    <a:ln>
                      <a:noFill/>
                    </a:ln>
                  </pic:spPr>
                </pic:pic>
              </a:graphicData>
            </a:graphic>
          </wp:inline>
        </w:drawing>
      </w:r>
    </w:p>
    <w:p w:rsidR="00554043" w:rsidRDefault="00554043" w:rsidP="00554043">
      <w:pPr>
        <w:jc w:val="left"/>
      </w:pPr>
    </w:p>
    <w:p w:rsidR="00554043" w:rsidRDefault="00554043" w:rsidP="00554043">
      <w:pPr>
        <w:jc w:val="left"/>
      </w:pPr>
      <w:r>
        <w:rPr>
          <w:rFonts w:hint="eastAsia"/>
        </w:rPr>
        <w:t>上記の図はＱＡＬＹを表す一例であり、</w:t>
      </w:r>
      <w:r>
        <w:t>1</w:t>
      </w:r>
      <w:r>
        <w:rPr>
          <w:rFonts w:hint="eastAsia"/>
        </w:rPr>
        <w:t>が完全な健康で０が死を表す。網目の部分は、新薬を導入することにより生まれる、既存薬との間の純粋な効用を表す。これの大きさと費用を定量化し、一定の基準を設けたものがＱＡＬＹである。</w:t>
      </w:r>
    </w:p>
    <w:p w:rsidR="00554043" w:rsidRDefault="00554043" w:rsidP="00554043">
      <w:pPr>
        <w:jc w:val="left"/>
      </w:pPr>
      <w:r>
        <w:rPr>
          <w:rFonts w:hint="eastAsia"/>
        </w:rPr>
        <w:t xml:space="preserve">　</w:t>
      </w:r>
    </w:p>
    <w:p w:rsidR="00554043" w:rsidRDefault="00554043" w:rsidP="00554043">
      <w:pPr>
        <w:jc w:val="left"/>
      </w:pPr>
      <w:r>
        <w:rPr>
          <w:rFonts w:hint="eastAsia"/>
        </w:rPr>
        <w:t>３－２　倫理的な面から見た終末期医療のあり方</w:t>
      </w:r>
    </w:p>
    <w:p w:rsidR="00554043" w:rsidRDefault="00554043" w:rsidP="00554043">
      <w:pPr>
        <w:jc w:val="left"/>
      </w:pPr>
    </w:p>
    <w:p w:rsidR="00554043" w:rsidRDefault="00554043" w:rsidP="00554043">
      <w:pPr>
        <w:jc w:val="left"/>
      </w:pPr>
      <w:r>
        <w:rPr>
          <w:rFonts w:hint="eastAsia"/>
        </w:rPr>
        <w:t xml:space="preserve">　上記で述べたような倫理的な問題にどのような折り合いをつけていかなければならないのであろうか。</w:t>
      </w:r>
    </w:p>
    <w:p w:rsidR="00554043" w:rsidRDefault="00554043" w:rsidP="00554043">
      <w:pPr>
        <w:ind w:firstLineChars="100" w:firstLine="210"/>
        <w:jc w:val="left"/>
      </w:pPr>
      <w:r>
        <w:rPr>
          <w:rFonts w:hint="eastAsia"/>
        </w:rPr>
        <w:t>まず、一つ前提としてあげなければならないのは、資源は有限であるがゆえ、救える命には限りがあるということである。前に述べたように、このまま高度医療の発展。国民医療費の高騰が進んだ場合、公的医療で全てのこれらを支えることは限りなく難しい。よって、その場合、死に対してどのように向き合うべきなのか、この観点から様々な面で話を進めていく。</w:t>
      </w:r>
    </w:p>
    <w:p w:rsidR="00554043" w:rsidRDefault="00554043" w:rsidP="00554043">
      <w:pPr>
        <w:ind w:firstLineChars="100" w:firstLine="210"/>
        <w:jc w:val="left"/>
      </w:pPr>
    </w:p>
    <w:p w:rsidR="00554043" w:rsidRDefault="00554043" w:rsidP="00554043">
      <w:pPr>
        <w:jc w:val="left"/>
      </w:pPr>
      <w:r>
        <w:rPr>
          <w:rFonts w:hint="eastAsia"/>
        </w:rPr>
        <w:t>３－２－１　一人あたりの国民医療費の平等を追求した場合</w:t>
      </w:r>
    </w:p>
    <w:p w:rsidR="00554043" w:rsidRDefault="00554043" w:rsidP="00554043">
      <w:pPr>
        <w:jc w:val="left"/>
      </w:pPr>
    </w:p>
    <w:p w:rsidR="00554043" w:rsidRDefault="00554043" w:rsidP="00554043">
      <w:pPr>
        <w:ind w:firstLineChars="100" w:firstLine="210"/>
        <w:jc w:val="left"/>
      </w:pPr>
      <w:r>
        <w:rPr>
          <w:rFonts w:hint="eastAsia"/>
        </w:rPr>
        <w:t>高度医療社会化が進んだ場合、財源の問題に直面してしまうことは上記に述べた。その場合、真っ先に起きてしまう問題は、経済資源が有限であることから人によって医療格差が生まれてしまう恐れがあることではないだろうか。なので、これからは、経済資源の格</w:t>
      </w:r>
      <w:r>
        <w:rPr>
          <w:rFonts w:hint="eastAsia"/>
        </w:rPr>
        <w:lastRenderedPageBreak/>
        <w:t>差が医療格差となってしまうことへの対処について、国民医療費の平等を追求しながら、死への受容を絡め取り上げたい。</w:t>
      </w:r>
    </w:p>
    <w:p w:rsidR="00554043" w:rsidRDefault="00554043" w:rsidP="00554043">
      <w:pPr>
        <w:jc w:val="left"/>
      </w:pPr>
    </w:p>
    <w:p w:rsidR="00554043" w:rsidRDefault="00554043" w:rsidP="00554043">
      <w:pPr>
        <w:jc w:val="left"/>
      </w:pPr>
      <w:r>
        <w:rPr>
          <w:rFonts w:hint="eastAsia"/>
        </w:rPr>
        <w:t xml:space="preserve">　メリット</w:t>
      </w:r>
    </w:p>
    <w:p w:rsidR="00554043" w:rsidRDefault="00554043" w:rsidP="00554043">
      <w:pPr>
        <w:ind w:firstLineChars="100" w:firstLine="210"/>
        <w:jc w:val="left"/>
      </w:pPr>
    </w:p>
    <w:p w:rsidR="00554043" w:rsidRDefault="00554043" w:rsidP="00554043">
      <w:pPr>
        <w:ind w:firstLineChars="100" w:firstLine="210"/>
        <w:jc w:val="left"/>
      </w:pPr>
      <w:r>
        <w:rPr>
          <w:rFonts w:hint="eastAsia"/>
        </w:rPr>
        <w:t>一番に挙げられることは、相対的な幸福が増すことが挙げられる。人間の幸福とは、少なからず相対的にきまる部分がある。よって、平等を追求することは、人々の幸福への効用を高められると同時に、相対的な幸福の上昇から死への受容もよりスムーズに果たすことができる。</w:t>
      </w:r>
    </w:p>
    <w:p w:rsidR="00554043" w:rsidRDefault="00554043" w:rsidP="00554043">
      <w:pPr>
        <w:ind w:firstLineChars="100" w:firstLine="210"/>
        <w:jc w:val="left"/>
      </w:pPr>
      <w:r>
        <w:rPr>
          <w:rFonts w:hint="eastAsia"/>
        </w:rPr>
        <w:t>加えてこれらは、高度医療社会化が抑制されることを意味し、国民医療費増加の抑制にもつながると予想される。</w:t>
      </w:r>
    </w:p>
    <w:p w:rsidR="00554043" w:rsidRDefault="00554043" w:rsidP="00554043">
      <w:pPr>
        <w:ind w:firstLineChars="100" w:firstLine="210"/>
        <w:jc w:val="left"/>
      </w:pPr>
    </w:p>
    <w:p w:rsidR="00554043" w:rsidRDefault="00554043" w:rsidP="00554043">
      <w:pPr>
        <w:jc w:val="left"/>
      </w:pPr>
      <w:r>
        <w:rPr>
          <w:rFonts w:hint="eastAsia"/>
        </w:rPr>
        <w:t xml:space="preserve">　デメリット</w:t>
      </w:r>
    </w:p>
    <w:p w:rsidR="00554043" w:rsidRDefault="00554043" w:rsidP="00554043">
      <w:pPr>
        <w:ind w:firstLineChars="100" w:firstLine="210"/>
        <w:jc w:val="left"/>
      </w:pPr>
    </w:p>
    <w:p w:rsidR="00554043" w:rsidRDefault="00554043" w:rsidP="00554043">
      <w:pPr>
        <w:ind w:firstLineChars="100" w:firstLine="210"/>
        <w:jc w:val="left"/>
      </w:pPr>
      <w:r>
        <w:rPr>
          <w:rFonts w:hint="eastAsia"/>
        </w:rPr>
        <w:t>まず挙げられることは、医療技術の革新を停滞させることである。加えて、このことは医療技術の革新によって、助かり得る命まで失ってしまうことが起こり得る。</w:t>
      </w:r>
    </w:p>
    <w:p w:rsidR="00554043" w:rsidRDefault="00554043" w:rsidP="00554043">
      <w:pPr>
        <w:jc w:val="left"/>
      </w:pPr>
    </w:p>
    <w:p w:rsidR="00554043" w:rsidRDefault="00554043" w:rsidP="00554043">
      <w:pPr>
        <w:jc w:val="left"/>
      </w:pPr>
      <w:r>
        <w:rPr>
          <w:rFonts w:hint="eastAsia"/>
        </w:rPr>
        <w:t>３－２－２　医療格差を容認した場合</w:t>
      </w:r>
    </w:p>
    <w:p w:rsidR="00554043" w:rsidRDefault="00554043" w:rsidP="00554043">
      <w:pPr>
        <w:jc w:val="left"/>
      </w:pPr>
      <w:r>
        <w:rPr>
          <w:rFonts w:hint="eastAsia"/>
        </w:rPr>
        <w:t xml:space="preserve">　</w:t>
      </w:r>
    </w:p>
    <w:p w:rsidR="00554043" w:rsidRDefault="00554043" w:rsidP="00554043">
      <w:pPr>
        <w:ind w:firstLineChars="100" w:firstLine="210"/>
        <w:jc w:val="left"/>
      </w:pPr>
      <w:r>
        <w:rPr>
          <w:rFonts w:hint="eastAsia"/>
        </w:rPr>
        <w:t>富裕層と貧困層で受けられる医療が変わることを意味し、現在のアメリカはそれに伴い個人の医療費負担が急増している。今回はその場合のメリット・デメリットを下に記す。</w:t>
      </w:r>
    </w:p>
    <w:p w:rsidR="00554043" w:rsidRDefault="00554043" w:rsidP="00554043">
      <w:pPr>
        <w:jc w:val="left"/>
      </w:pPr>
    </w:p>
    <w:p w:rsidR="00554043" w:rsidRDefault="00554043" w:rsidP="00554043">
      <w:pPr>
        <w:jc w:val="left"/>
      </w:pPr>
      <w:r>
        <w:rPr>
          <w:rFonts w:hint="eastAsia"/>
        </w:rPr>
        <w:t xml:space="preserve">　メリット</w:t>
      </w:r>
    </w:p>
    <w:p w:rsidR="00554043" w:rsidRDefault="00554043" w:rsidP="00554043">
      <w:pPr>
        <w:jc w:val="left"/>
      </w:pPr>
    </w:p>
    <w:p w:rsidR="00554043" w:rsidRDefault="00554043" w:rsidP="00554043">
      <w:pPr>
        <w:jc w:val="left"/>
      </w:pPr>
      <w:r>
        <w:rPr>
          <w:rFonts w:hint="eastAsia"/>
        </w:rPr>
        <w:t xml:space="preserve">　一番に挙げられることは、高度医療の付加価値が容易に生まれ、研究開発の採算が容易にとれるようになることから生まれる、医療技術の革新が見込まれることである。これは、いままで救えなかった命がより多く救えるようになり、大きなメリットになりうる。</w:t>
      </w:r>
    </w:p>
    <w:p w:rsidR="00554043" w:rsidRDefault="00554043" w:rsidP="00554043">
      <w:pPr>
        <w:ind w:leftChars="100" w:left="210"/>
        <w:jc w:val="left"/>
      </w:pPr>
      <w:r>
        <w:rPr>
          <w:rFonts w:hint="eastAsia"/>
        </w:rPr>
        <w:t>加えて、絶対数において命がより多く救えることも見逃してはならないメリットだろう。前述の平等性とはあくまでも費用面を追求した話であり、絶対数としてより多くの患者を救うことができるケースは、高度医療社会化がより進むことからこちらである。</w:t>
      </w:r>
    </w:p>
    <w:p w:rsidR="00554043" w:rsidRDefault="00554043" w:rsidP="00554043">
      <w:pPr>
        <w:jc w:val="left"/>
      </w:pPr>
    </w:p>
    <w:p w:rsidR="00554043" w:rsidRDefault="00554043" w:rsidP="00554043">
      <w:pPr>
        <w:ind w:firstLineChars="100" w:firstLine="210"/>
        <w:jc w:val="left"/>
      </w:pPr>
      <w:r>
        <w:rPr>
          <w:rFonts w:hint="eastAsia"/>
        </w:rPr>
        <w:t>デメリット</w:t>
      </w:r>
    </w:p>
    <w:p w:rsidR="00554043" w:rsidRDefault="00554043" w:rsidP="00554043">
      <w:pPr>
        <w:jc w:val="left"/>
      </w:pPr>
    </w:p>
    <w:p w:rsidR="00554043" w:rsidRDefault="00554043" w:rsidP="00554043">
      <w:pPr>
        <w:ind w:firstLineChars="100" w:firstLine="210"/>
        <w:jc w:val="left"/>
      </w:pPr>
      <w:r>
        <w:rPr>
          <w:rFonts w:hint="eastAsia"/>
        </w:rPr>
        <w:t>経済格差が医療格差に結びついてしまうことが挙げられる。これは、資産をもっていればもっているほどよい医療を受けられることを意味し、仮に、治るはずなのに、資産を持っていないことにより治療をうけられない場合においては、心理的な要因から、死の受容</w:t>
      </w:r>
      <w:r>
        <w:rPr>
          <w:rFonts w:hint="eastAsia"/>
        </w:rPr>
        <w:lastRenderedPageBreak/>
        <w:t>が一段と難しくなることもまた意味する。</w:t>
      </w:r>
    </w:p>
    <w:p w:rsidR="00554043" w:rsidRDefault="00554043" w:rsidP="00554043">
      <w:pPr>
        <w:jc w:val="left"/>
      </w:pPr>
    </w:p>
    <w:p w:rsidR="00554043" w:rsidRDefault="00554043" w:rsidP="00554043">
      <w:pPr>
        <w:jc w:val="left"/>
      </w:pPr>
      <w:r>
        <w:rPr>
          <w:rFonts w:hint="eastAsia"/>
        </w:rPr>
        <w:t>３－３　コミュニティの重要性</w:t>
      </w:r>
    </w:p>
    <w:p w:rsidR="00554043" w:rsidRDefault="00554043" w:rsidP="00554043">
      <w:pPr>
        <w:jc w:val="left"/>
      </w:pPr>
    </w:p>
    <w:p w:rsidR="00554043" w:rsidRDefault="00554043" w:rsidP="00554043">
      <w:pPr>
        <w:jc w:val="left"/>
      </w:pPr>
      <w:r>
        <w:rPr>
          <w:rFonts w:hint="eastAsia"/>
        </w:rPr>
        <w:t xml:space="preserve">　物理的な面でも死の恐怖を受容を促し、経済資源の格差がもたらす医療格差の克服を目指すやりかたも存在する。例えば、青年期において、身近な人の死を経験した人は、そうでない人と比べて、死への恐怖が少ないことがわかっている。</w:t>
      </w:r>
      <w:r w:rsidR="00D14A55">
        <w:rPr>
          <w:rFonts w:hint="eastAsia"/>
        </w:rPr>
        <w:t>（富松、稲谷　２０１２）</w:t>
      </w:r>
      <w:r w:rsidR="00D14A55">
        <w:rPr>
          <w:rStyle w:val="a9"/>
        </w:rPr>
        <w:endnoteReference w:id="16"/>
      </w:r>
      <w:r w:rsidR="00D14A55">
        <w:rPr>
          <w:rFonts w:hint="eastAsia"/>
        </w:rPr>
        <w:t xml:space="preserve">　</w:t>
      </w:r>
      <w:r>
        <w:rPr>
          <w:rFonts w:hint="eastAsia"/>
        </w:rPr>
        <w:t>つまり、大事なのは、身近な人の死に触れ合う経験を多くさせることなのではないだろうか。</w:t>
      </w:r>
    </w:p>
    <w:p w:rsidR="00554043" w:rsidRDefault="00554043" w:rsidP="00554043">
      <w:pPr>
        <w:ind w:firstLineChars="100" w:firstLine="210"/>
      </w:pPr>
      <w:r>
        <w:rPr>
          <w:rFonts w:hint="eastAsia"/>
        </w:rPr>
        <w:t>これは、コミュニティや家族などで身近な人を増やすことが一番大事だろう。なぜなら、それが身近な人の死、つまり“２人称の死”を多くさせるからである。</w:t>
      </w:r>
    </w:p>
    <w:p w:rsidR="00554043" w:rsidRDefault="00554043" w:rsidP="00554043"/>
    <w:p w:rsidR="00554043" w:rsidRPr="00C60DD9" w:rsidRDefault="00C60DD9" w:rsidP="00554043">
      <w:pPr>
        <w:rPr>
          <w:u w:val="single"/>
        </w:rPr>
      </w:pPr>
      <w:r>
        <w:rPr>
          <w:rFonts w:hint="eastAsia"/>
        </w:rPr>
        <w:t>４．</w:t>
      </w:r>
      <w:r w:rsidR="00554043" w:rsidRPr="00C60DD9">
        <w:rPr>
          <w:rFonts w:hint="eastAsia"/>
          <w:u w:val="single"/>
        </w:rPr>
        <w:t>まとめ</w:t>
      </w:r>
      <w:r>
        <w:rPr>
          <w:rFonts w:hint="eastAsia"/>
          <w:u w:val="single"/>
        </w:rPr>
        <w:t xml:space="preserve">　　　　　　　　　　　　　　　　　　　　　　　　　　　　　　　　　　　</w:t>
      </w:r>
    </w:p>
    <w:p w:rsidR="00554043" w:rsidRDefault="00554043" w:rsidP="00554043"/>
    <w:p w:rsidR="00554043" w:rsidRDefault="00554043" w:rsidP="00554043">
      <w:r>
        <w:rPr>
          <w:rFonts w:hint="eastAsia"/>
        </w:rPr>
        <w:t xml:space="preserve">　医療格差をなくす場合でも、つける場合でも、副次的な要因で失われてしまう命があることは上で確認できた。よって、絶対数としてより多くの命が救えることを考慮し、ある程度の医療格差と経済格差が結びついてしまうことは仕方ないと私は考える。</w:t>
      </w:r>
    </w:p>
    <w:p w:rsidR="00554043" w:rsidRDefault="00554043" w:rsidP="00554043">
      <w:pPr>
        <w:ind w:firstLineChars="100" w:firstLine="210"/>
        <w:jc w:val="left"/>
        <w:rPr>
          <w:u w:val="single"/>
        </w:rPr>
      </w:pPr>
      <w:r>
        <w:rPr>
          <w:rFonts w:hint="eastAsia"/>
        </w:rPr>
        <w:t>加えて、二次的な問題として発生する医療格差への対処へは、前に取り上げたコミュニティの繋がりをもつことが、心理的な要因以外でも重要な役割を果たすのではないだろうか。</w:t>
      </w:r>
    </w:p>
    <w:p w:rsidR="00554043" w:rsidRDefault="00554043" w:rsidP="00554043">
      <w:pPr>
        <w:ind w:firstLineChars="100" w:firstLine="210"/>
        <w:jc w:val="left"/>
      </w:pPr>
      <w:r>
        <w:rPr>
          <w:rFonts w:hint="eastAsia"/>
        </w:rPr>
        <w:t>極端な話ではあるが、例え、医療格差があっても、全ての人がつながり、利害関係をともにし、それぞれが所得をフォローしあえれば、高度医療社会化がもたらす経済格差が生む医療格差は、より平等に近づくはずである。</w:t>
      </w:r>
    </w:p>
    <w:p w:rsidR="00554043" w:rsidRDefault="00554043" w:rsidP="00554043">
      <w:pPr>
        <w:ind w:firstLineChars="100" w:firstLine="210"/>
        <w:jc w:val="left"/>
      </w:pPr>
      <w:r>
        <w:rPr>
          <w:rFonts w:hint="eastAsia"/>
        </w:rPr>
        <w:t>よって今、核家族化が進みコミュニティの希薄化が叫ばれる中で、この動きを逆回転させることが、前述のような効果等々を生み、倫理的並びに経済的な面で高度医療社会化がもたらす死の受容への問題を、大きく緩和させることになると私は考える。</w:t>
      </w:r>
    </w:p>
    <w:p w:rsidR="00554043" w:rsidRDefault="00554043" w:rsidP="00554043">
      <w:pPr>
        <w:jc w:val="right"/>
      </w:pPr>
    </w:p>
    <w:p w:rsidR="00554043" w:rsidRPr="00554043" w:rsidRDefault="00554043" w:rsidP="00554043">
      <w:pPr>
        <w:jc w:val="left"/>
      </w:pPr>
    </w:p>
    <w:sectPr w:rsidR="00554043" w:rsidRPr="00554043">
      <w:headerReference w:type="default" r:id="rId16"/>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B1" w:rsidRDefault="00410CB1" w:rsidP="00554043">
      <w:r>
        <w:separator/>
      </w:r>
    </w:p>
  </w:endnote>
  <w:endnote w:type="continuationSeparator" w:id="0">
    <w:p w:rsidR="00410CB1" w:rsidRDefault="00410CB1" w:rsidP="00554043">
      <w:r>
        <w:continuationSeparator/>
      </w:r>
    </w:p>
  </w:endnote>
  <w:endnote w:id="1">
    <w:p w:rsidR="00554043" w:rsidRDefault="00554043" w:rsidP="00554043">
      <w:pPr>
        <w:pStyle w:val="a5"/>
      </w:pPr>
      <w:r>
        <w:rPr>
          <w:rStyle w:val="a9"/>
        </w:rPr>
        <w:endnoteRef/>
      </w:r>
      <w:r>
        <w:t xml:space="preserve"> </w:t>
      </w:r>
      <w:r>
        <w:rPr>
          <w:rFonts w:hint="eastAsia"/>
        </w:rPr>
        <w:t xml:space="preserve">　社会実情データ図録　高齢化とともに高まる医療費　（２０１３年１１月１９日）</w:t>
      </w:r>
    </w:p>
  </w:endnote>
  <w:endnote w:id="2">
    <w:p w:rsidR="00FB2EDD" w:rsidRPr="00134E61" w:rsidRDefault="00FB2EDD" w:rsidP="00FB2EDD">
      <w:pPr>
        <w:pStyle w:val="a5"/>
      </w:pPr>
      <w:r>
        <w:rPr>
          <w:rStyle w:val="a9"/>
        </w:rPr>
        <w:endnoteRef/>
      </w:r>
      <w:r>
        <w:t xml:space="preserve"> </w:t>
      </w:r>
      <w:r>
        <w:rPr>
          <w:rFonts w:hint="eastAsia"/>
        </w:rPr>
        <w:t xml:space="preserve">　</w:t>
      </w:r>
      <w:r>
        <w:rPr>
          <w:rFonts w:hint="eastAsia"/>
          <w:kern w:val="0"/>
          <w:sz w:val="20"/>
          <w:szCs w:val="20"/>
        </w:rPr>
        <w:t>兪</w:t>
      </w:r>
      <w:r>
        <w:rPr>
          <w:kern w:val="0"/>
          <w:sz w:val="20"/>
          <w:szCs w:val="20"/>
        </w:rPr>
        <w:t xml:space="preserve"> </w:t>
      </w:r>
      <w:r>
        <w:rPr>
          <w:rFonts w:hint="eastAsia"/>
          <w:kern w:val="0"/>
          <w:sz w:val="20"/>
          <w:szCs w:val="20"/>
        </w:rPr>
        <w:t xml:space="preserve">炳匡　２００６年　</w:t>
      </w:r>
      <w:r>
        <w:rPr>
          <w:rFonts w:hint="eastAsia"/>
        </w:rPr>
        <w:t>改革のため医療経済学　メディカ出版</w:t>
      </w:r>
    </w:p>
  </w:endnote>
  <w:endnote w:id="3">
    <w:p w:rsidR="00FB2EDD" w:rsidRPr="00134E61" w:rsidRDefault="00FB2EDD" w:rsidP="00FB2EDD">
      <w:pPr>
        <w:pStyle w:val="a5"/>
      </w:pPr>
      <w:r>
        <w:rPr>
          <w:rStyle w:val="a9"/>
        </w:rPr>
        <w:endnoteRef/>
      </w:r>
      <w:r>
        <w:t xml:space="preserve"> </w:t>
      </w:r>
      <w:r>
        <w:rPr>
          <w:rFonts w:hint="eastAsia"/>
        </w:rPr>
        <w:t xml:space="preserve"> </w:t>
      </w:r>
      <w:r>
        <w:rPr>
          <w:rFonts w:hint="eastAsia"/>
          <w:kern w:val="0"/>
          <w:sz w:val="20"/>
          <w:szCs w:val="20"/>
        </w:rPr>
        <w:t>兪</w:t>
      </w:r>
      <w:r>
        <w:rPr>
          <w:kern w:val="0"/>
          <w:sz w:val="20"/>
          <w:szCs w:val="20"/>
        </w:rPr>
        <w:t xml:space="preserve"> </w:t>
      </w:r>
      <w:r>
        <w:rPr>
          <w:rFonts w:hint="eastAsia"/>
          <w:kern w:val="0"/>
          <w:sz w:val="20"/>
          <w:szCs w:val="20"/>
        </w:rPr>
        <w:t xml:space="preserve">炳匡　２００６年　</w:t>
      </w:r>
      <w:r>
        <w:rPr>
          <w:rFonts w:hint="eastAsia"/>
        </w:rPr>
        <w:t>改革のため医療経済学　メディカ出版</w:t>
      </w:r>
    </w:p>
  </w:endnote>
  <w:endnote w:id="4">
    <w:p w:rsidR="00554043" w:rsidRDefault="00554043" w:rsidP="00554043">
      <w:pPr>
        <w:pStyle w:val="a5"/>
      </w:pPr>
      <w:r>
        <w:rPr>
          <w:rStyle w:val="a9"/>
        </w:rPr>
        <w:endnoteRef/>
      </w:r>
      <w:r>
        <w:t xml:space="preserve"> </w:t>
      </w:r>
      <w:r>
        <w:rPr>
          <w:rFonts w:hint="eastAsia"/>
        </w:rPr>
        <w:t xml:space="preserve">　</w:t>
      </w:r>
      <w:r w:rsidR="00D14A55" w:rsidRPr="00BF03D0">
        <w:rPr>
          <w:rFonts w:hint="eastAsia"/>
        </w:rPr>
        <w:t>厚生労働省</w:t>
      </w:r>
      <w:r w:rsidR="00D14A55">
        <w:rPr>
          <w:rFonts w:hint="eastAsia"/>
        </w:rPr>
        <w:t xml:space="preserve">　</w:t>
      </w:r>
      <w:r w:rsidR="00D14A55" w:rsidRPr="00BF03D0">
        <w:rPr>
          <w:rFonts w:hint="eastAsia"/>
        </w:rPr>
        <w:t>国民医療費の概況</w:t>
      </w:r>
      <w:r w:rsidR="00D14A55">
        <w:rPr>
          <w:rFonts w:hint="eastAsia"/>
        </w:rPr>
        <w:t xml:space="preserve">　平成２２年度、　総務省　国勢調査　平成２２年</w:t>
      </w:r>
    </w:p>
  </w:endnote>
  <w:endnote w:id="5">
    <w:p w:rsidR="00554043" w:rsidRPr="00D14A55" w:rsidRDefault="00554043" w:rsidP="00554043">
      <w:pPr>
        <w:pStyle w:val="a5"/>
        <w:rPr>
          <w:lang w:eastAsia="zh-TW"/>
        </w:rPr>
      </w:pPr>
      <w:r>
        <w:rPr>
          <w:rStyle w:val="a9"/>
        </w:rPr>
        <w:endnoteRef/>
      </w:r>
      <w:r>
        <w:rPr>
          <w:lang w:eastAsia="zh-TW"/>
        </w:rPr>
        <w:t xml:space="preserve"> </w:t>
      </w:r>
      <w:r w:rsidR="00D14A55">
        <w:rPr>
          <w:rFonts w:hint="eastAsia"/>
          <w:lang w:eastAsia="zh-TW"/>
        </w:rPr>
        <w:t xml:space="preserve">　厚生労働省　人口動態調査　１９９３年～２０１１年、　厚生労働省　国民医療費調査　平成２３年</w:t>
      </w:r>
    </w:p>
  </w:endnote>
  <w:endnote w:id="6">
    <w:p w:rsidR="00FB2EDD" w:rsidRPr="00DC2500" w:rsidRDefault="00FB2EDD" w:rsidP="00FB2EDD">
      <w:pPr>
        <w:pStyle w:val="a5"/>
      </w:pPr>
      <w:r>
        <w:rPr>
          <w:rStyle w:val="a9"/>
        </w:rPr>
        <w:endnoteRef/>
      </w:r>
      <w:r>
        <w:t xml:space="preserve"> </w:t>
      </w:r>
      <w:r>
        <w:rPr>
          <w:rFonts w:hint="eastAsia"/>
        </w:rPr>
        <w:t xml:space="preserve">　内閣府　日本の将来推計人口　</w:t>
      </w:r>
      <w:r>
        <w:rPr>
          <w:rFonts w:hint="eastAsia"/>
        </w:rPr>
        <w:t>H</w:t>
      </w:r>
      <w:r>
        <w:rPr>
          <w:rFonts w:hint="eastAsia"/>
        </w:rPr>
        <w:t>２４年１月推計</w:t>
      </w:r>
    </w:p>
  </w:endnote>
  <w:endnote w:id="7">
    <w:p w:rsidR="00FB2EDD" w:rsidRPr="00134E61" w:rsidRDefault="00FB2EDD" w:rsidP="00FB2EDD">
      <w:pPr>
        <w:pStyle w:val="a5"/>
      </w:pPr>
      <w:r>
        <w:rPr>
          <w:rStyle w:val="a9"/>
        </w:rPr>
        <w:endnoteRef/>
      </w:r>
      <w:r>
        <w:t xml:space="preserve"> </w:t>
      </w:r>
      <w:r>
        <w:rPr>
          <w:rFonts w:hint="eastAsia"/>
        </w:rPr>
        <w:t xml:space="preserve">　広井　良典　１９９６年　遺伝子の技術、遺伝子の思想　中央公論者</w:t>
      </w:r>
    </w:p>
  </w:endnote>
  <w:endnote w:id="8">
    <w:p w:rsidR="00FB2EDD" w:rsidRPr="00FB2EDD" w:rsidRDefault="00FB2EDD">
      <w:pPr>
        <w:pStyle w:val="a5"/>
      </w:pPr>
      <w:r>
        <w:rPr>
          <w:rStyle w:val="a9"/>
        </w:rPr>
        <w:endnoteRef/>
      </w:r>
      <w:r>
        <w:t xml:space="preserve"> </w:t>
      </w:r>
      <w:r>
        <w:rPr>
          <w:rFonts w:hint="eastAsia"/>
        </w:rPr>
        <w:t xml:space="preserve">　フランシスコ</w:t>
      </w:r>
      <w:r>
        <w:rPr>
          <w:rFonts w:hint="eastAsia"/>
        </w:rPr>
        <w:t>.S.</w:t>
      </w:r>
      <w:r>
        <w:rPr>
          <w:rFonts w:hint="eastAsia"/>
        </w:rPr>
        <w:t>コリンズ</w:t>
      </w:r>
      <w:r>
        <w:rPr>
          <w:rFonts w:hint="eastAsia"/>
        </w:rPr>
        <w:t xml:space="preserve"> </w:t>
      </w:r>
      <w:r>
        <w:rPr>
          <w:rFonts w:hint="eastAsia"/>
        </w:rPr>
        <w:t>２０１１年　遺伝子医療革命　日本放送出版協会</w:t>
      </w:r>
    </w:p>
  </w:endnote>
  <w:endnote w:id="9">
    <w:p w:rsidR="00D14A55" w:rsidRPr="00D14A55" w:rsidRDefault="00D14A55">
      <w:pPr>
        <w:pStyle w:val="a5"/>
      </w:pPr>
      <w:r>
        <w:rPr>
          <w:rStyle w:val="a9"/>
        </w:rPr>
        <w:endnoteRef/>
      </w:r>
      <w:r>
        <w:t xml:space="preserve"> </w:t>
      </w:r>
      <w:r>
        <w:rPr>
          <w:rFonts w:hint="eastAsia"/>
        </w:rPr>
        <w:t xml:space="preserve">　フランシスコ</w:t>
      </w:r>
      <w:r>
        <w:rPr>
          <w:rFonts w:hint="eastAsia"/>
        </w:rPr>
        <w:t>.S.</w:t>
      </w:r>
      <w:r>
        <w:rPr>
          <w:rFonts w:hint="eastAsia"/>
        </w:rPr>
        <w:t>コリンズ</w:t>
      </w:r>
      <w:r>
        <w:rPr>
          <w:rFonts w:hint="eastAsia"/>
        </w:rPr>
        <w:t xml:space="preserve"> </w:t>
      </w:r>
      <w:r>
        <w:rPr>
          <w:rFonts w:hint="eastAsia"/>
        </w:rPr>
        <w:t>２０１１年　遺伝子医療革命　日本放送出版協会</w:t>
      </w:r>
    </w:p>
  </w:endnote>
  <w:endnote w:id="10">
    <w:p w:rsidR="00554043" w:rsidRDefault="00554043" w:rsidP="00554043">
      <w:pPr>
        <w:pStyle w:val="a5"/>
      </w:pPr>
      <w:r>
        <w:rPr>
          <w:rStyle w:val="a9"/>
        </w:rPr>
        <w:endnoteRef/>
      </w:r>
      <w:r>
        <w:t xml:space="preserve"> </w:t>
      </w:r>
      <w:r>
        <w:rPr>
          <w:rFonts w:hint="eastAsia"/>
        </w:rPr>
        <w:t xml:space="preserve">　厚生労働省　介護費用と保険料の推移　（２０１３年１１月２７日）</w:t>
      </w:r>
    </w:p>
  </w:endnote>
  <w:endnote w:id="11">
    <w:p w:rsidR="00554043" w:rsidRDefault="00554043" w:rsidP="00554043">
      <w:pPr>
        <w:pStyle w:val="a5"/>
      </w:pPr>
      <w:r>
        <w:rPr>
          <w:rStyle w:val="a9"/>
        </w:rPr>
        <w:endnoteRef/>
      </w:r>
      <w:r>
        <w:t xml:space="preserve"> </w:t>
      </w:r>
      <w:r>
        <w:rPr>
          <w:rFonts w:hint="eastAsia"/>
        </w:rPr>
        <w:t xml:space="preserve">　</w:t>
      </w:r>
      <w:r w:rsidR="00D14A55">
        <w:rPr>
          <w:rFonts w:hint="eastAsia"/>
        </w:rPr>
        <w:t xml:space="preserve">厚生労働省　</w:t>
      </w:r>
      <w:r>
        <w:rPr>
          <w:rFonts w:hint="eastAsia"/>
        </w:rPr>
        <w:t>平成２４年度　介護給付費実態調査の概況</w:t>
      </w:r>
    </w:p>
  </w:endnote>
  <w:endnote w:id="12">
    <w:p w:rsidR="00554043" w:rsidRDefault="00554043" w:rsidP="00554043">
      <w:pPr>
        <w:pStyle w:val="a5"/>
      </w:pPr>
      <w:r>
        <w:rPr>
          <w:rStyle w:val="a9"/>
        </w:rPr>
        <w:endnoteRef/>
      </w:r>
      <w:r>
        <w:t xml:space="preserve"> </w:t>
      </w:r>
      <w:r>
        <w:rPr>
          <w:rFonts w:hint="eastAsia"/>
        </w:rPr>
        <w:t xml:space="preserve">　国立社会保障・人口問題研究所　日本の将来推計人口（平成２４年１月推計）</w:t>
      </w:r>
    </w:p>
  </w:endnote>
  <w:endnote w:id="13">
    <w:p w:rsidR="00554043" w:rsidRDefault="00554043" w:rsidP="00554043">
      <w:pPr>
        <w:pStyle w:val="a5"/>
      </w:pPr>
      <w:r>
        <w:rPr>
          <w:rStyle w:val="a9"/>
        </w:rPr>
        <w:endnoteRef/>
      </w:r>
      <w:r w:rsidR="00D14A55">
        <w:rPr>
          <w:rFonts w:hint="eastAsia"/>
        </w:rPr>
        <w:t xml:space="preserve">　飛田　英子　２０１３年　医薬品政策に経済評価の視点を　（</w:t>
      </w:r>
      <w:r w:rsidR="00D14A55">
        <w:rPr>
          <w:rFonts w:hint="eastAsia"/>
        </w:rPr>
        <w:t>P22~P25</w:t>
      </w:r>
      <w:r w:rsidR="00D14A55">
        <w:rPr>
          <w:rFonts w:hint="eastAsia"/>
        </w:rPr>
        <w:t>）</w:t>
      </w:r>
      <w:r>
        <w:rPr>
          <w:rFonts w:hint="eastAsia"/>
        </w:rPr>
        <w:t xml:space="preserve">　</w:t>
      </w:r>
    </w:p>
  </w:endnote>
  <w:endnote w:id="14">
    <w:p w:rsidR="00D14A55" w:rsidRPr="00D14A55" w:rsidRDefault="00D14A55">
      <w:pPr>
        <w:pStyle w:val="a5"/>
      </w:pPr>
      <w:r>
        <w:rPr>
          <w:rStyle w:val="a9"/>
        </w:rPr>
        <w:endnoteRef/>
      </w:r>
      <w:r>
        <w:t xml:space="preserve"> </w:t>
      </w:r>
      <w:r>
        <w:rPr>
          <w:rFonts w:hint="eastAsia"/>
        </w:rPr>
        <w:t xml:space="preserve">　</w:t>
      </w:r>
      <w:r>
        <w:rPr>
          <w:rFonts w:hint="eastAsia"/>
          <w:kern w:val="0"/>
          <w:sz w:val="20"/>
          <w:szCs w:val="20"/>
        </w:rPr>
        <w:t>兪</w:t>
      </w:r>
      <w:r>
        <w:rPr>
          <w:kern w:val="0"/>
          <w:sz w:val="20"/>
          <w:szCs w:val="20"/>
        </w:rPr>
        <w:t xml:space="preserve"> </w:t>
      </w:r>
      <w:r>
        <w:rPr>
          <w:rFonts w:hint="eastAsia"/>
          <w:kern w:val="0"/>
          <w:sz w:val="20"/>
          <w:szCs w:val="20"/>
        </w:rPr>
        <w:t xml:space="preserve">炳匡　２００６年　</w:t>
      </w:r>
      <w:r>
        <w:rPr>
          <w:rFonts w:hint="eastAsia"/>
        </w:rPr>
        <w:t>改革のため医療経済学　メディカ出版</w:t>
      </w:r>
    </w:p>
  </w:endnote>
  <w:endnote w:id="15">
    <w:p w:rsidR="00554043" w:rsidRDefault="00554043" w:rsidP="00554043">
      <w:pPr>
        <w:pStyle w:val="a5"/>
      </w:pPr>
      <w:r>
        <w:rPr>
          <w:rStyle w:val="a9"/>
        </w:rPr>
        <w:endnoteRef/>
      </w:r>
      <w:r>
        <w:t xml:space="preserve"> </w:t>
      </w:r>
      <w:r w:rsidR="00D14A55">
        <w:rPr>
          <w:rFonts w:hint="eastAsia"/>
        </w:rPr>
        <w:t xml:space="preserve">　飛田　英子　２０１３年　医薬品政策に経済評価の視点を　（</w:t>
      </w:r>
      <w:r w:rsidR="00D14A55">
        <w:rPr>
          <w:rFonts w:hint="eastAsia"/>
        </w:rPr>
        <w:t>P20</w:t>
      </w:r>
      <w:r w:rsidR="00D14A55">
        <w:rPr>
          <w:rFonts w:hint="eastAsia"/>
        </w:rPr>
        <w:t>）</w:t>
      </w:r>
    </w:p>
  </w:endnote>
  <w:endnote w:id="16">
    <w:p w:rsidR="00D14A55" w:rsidRDefault="00D14A55" w:rsidP="00D14A55">
      <w:pPr>
        <w:pStyle w:val="a5"/>
      </w:pPr>
      <w:r>
        <w:rPr>
          <w:rStyle w:val="a9"/>
        </w:rPr>
        <w:endnoteRef/>
      </w:r>
      <w:r>
        <w:t xml:space="preserve"> </w:t>
      </w:r>
      <w:r>
        <w:rPr>
          <w:rFonts w:hint="eastAsia"/>
        </w:rPr>
        <w:t xml:space="preserve">　富松　梨花子　稲谷ふみ枝　２０１２年　死生観の世代間研究　（</w:t>
      </w:r>
      <w:r>
        <w:rPr>
          <w:rFonts w:hint="eastAsia"/>
        </w:rPr>
        <w:t>P50</w:t>
      </w:r>
      <w:r>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28716"/>
      <w:docPartObj>
        <w:docPartGallery w:val="Page Numbers (Bottom of Page)"/>
        <w:docPartUnique/>
      </w:docPartObj>
    </w:sdtPr>
    <w:sdtEndPr/>
    <w:sdtContent>
      <w:p w:rsidR="00D14A55" w:rsidRDefault="00D14A55">
        <w:pPr>
          <w:pStyle w:val="ae"/>
          <w:jc w:val="center"/>
        </w:pPr>
        <w:r>
          <w:fldChar w:fldCharType="begin"/>
        </w:r>
        <w:r>
          <w:instrText>PAGE   \* MERGEFORMAT</w:instrText>
        </w:r>
        <w:r>
          <w:fldChar w:fldCharType="separate"/>
        </w:r>
        <w:r w:rsidR="00821FA7" w:rsidRPr="00821FA7">
          <w:rPr>
            <w:noProof/>
            <w:lang w:val="ja-JP"/>
          </w:rPr>
          <w:t>5</w:t>
        </w:r>
        <w:r>
          <w:fldChar w:fldCharType="end"/>
        </w:r>
      </w:p>
    </w:sdtContent>
  </w:sdt>
  <w:p w:rsidR="00D14A55" w:rsidRDefault="00D14A5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B1" w:rsidRDefault="00410CB1" w:rsidP="00554043">
      <w:r>
        <w:separator/>
      </w:r>
    </w:p>
  </w:footnote>
  <w:footnote w:type="continuationSeparator" w:id="0">
    <w:p w:rsidR="00410CB1" w:rsidRDefault="00410CB1" w:rsidP="00554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55" w:rsidRDefault="00DA266E" w:rsidP="00DA266E">
    <w:pPr>
      <w:pStyle w:val="ac"/>
      <w:wordWrap w:val="0"/>
      <w:jc w:val="right"/>
    </w:pPr>
    <w:r>
      <w:rPr>
        <w:rFonts w:hint="eastAsia"/>
      </w:rPr>
      <w:t xml:space="preserve">木原ゼミ　卒業論文　</w:t>
    </w:r>
    <w:r>
      <w:rPr>
        <w:rFonts w:hint="eastAsia"/>
      </w:rPr>
      <w:t xml:space="preserve">10F1952 </w:t>
    </w:r>
    <w:r>
      <w:rPr>
        <w:rFonts w:hint="eastAsia"/>
      </w:rPr>
      <w:t>丸島　尚海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5A47"/>
    <w:multiLevelType w:val="hybridMultilevel"/>
    <w:tmpl w:val="42201080"/>
    <w:lvl w:ilvl="0" w:tplc="17F22322">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43"/>
    <w:rsid w:val="00063FE8"/>
    <w:rsid w:val="00261166"/>
    <w:rsid w:val="003674D5"/>
    <w:rsid w:val="00410CB1"/>
    <w:rsid w:val="004241B5"/>
    <w:rsid w:val="00554043"/>
    <w:rsid w:val="006B59FB"/>
    <w:rsid w:val="00821FA7"/>
    <w:rsid w:val="0085188D"/>
    <w:rsid w:val="00C1247B"/>
    <w:rsid w:val="00C60DD9"/>
    <w:rsid w:val="00D14A55"/>
    <w:rsid w:val="00DA266E"/>
    <w:rsid w:val="00FB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554043"/>
    <w:pPr>
      <w:jc w:val="left"/>
    </w:pPr>
  </w:style>
  <w:style w:type="character" w:customStyle="1" w:styleId="a4">
    <w:name w:val="コメント文字列 (文字)"/>
    <w:basedOn w:val="a0"/>
    <w:link w:val="a3"/>
    <w:uiPriority w:val="99"/>
    <w:semiHidden/>
    <w:rsid w:val="00554043"/>
  </w:style>
  <w:style w:type="paragraph" w:styleId="a5">
    <w:name w:val="endnote text"/>
    <w:basedOn w:val="a"/>
    <w:link w:val="a6"/>
    <w:uiPriority w:val="99"/>
    <w:unhideWhenUsed/>
    <w:rsid w:val="00554043"/>
    <w:pPr>
      <w:snapToGrid w:val="0"/>
      <w:jc w:val="left"/>
    </w:pPr>
  </w:style>
  <w:style w:type="character" w:customStyle="1" w:styleId="a6">
    <w:name w:val="文末脚注文字列 (文字)"/>
    <w:basedOn w:val="a0"/>
    <w:link w:val="a5"/>
    <w:uiPriority w:val="99"/>
    <w:rsid w:val="00554043"/>
  </w:style>
  <w:style w:type="paragraph" w:styleId="a7">
    <w:name w:val="List Paragraph"/>
    <w:basedOn w:val="a"/>
    <w:uiPriority w:val="34"/>
    <w:qFormat/>
    <w:rsid w:val="00554043"/>
    <w:pPr>
      <w:ind w:leftChars="400" w:left="840"/>
    </w:pPr>
  </w:style>
  <w:style w:type="character" w:styleId="a8">
    <w:name w:val="annotation reference"/>
    <w:basedOn w:val="a0"/>
    <w:uiPriority w:val="99"/>
    <w:semiHidden/>
    <w:unhideWhenUsed/>
    <w:rsid w:val="00554043"/>
    <w:rPr>
      <w:sz w:val="18"/>
      <w:szCs w:val="18"/>
    </w:rPr>
  </w:style>
  <w:style w:type="character" w:styleId="a9">
    <w:name w:val="endnote reference"/>
    <w:basedOn w:val="a0"/>
    <w:uiPriority w:val="99"/>
    <w:semiHidden/>
    <w:unhideWhenUsed/>
    <w:rsid w:val="00554043"/>
    <w:rPr>
      <w:vertAlign w:val="superscript"/>
    </w:rPr>
  </w:style>
  <w:style w:type="paragraph" w:styleId="aa">
    <w:name w:val="Balloon Text"/>
    <w:basedOn w:val="a"/>
    <w:link w:val="ab"/>
    <w:uiPriority w:val="99"/>
    <w:semiHidden/>
    <w:unhideWhenUsed/>
    <w:rsid w:val="005540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54043"/>
    <w:rPr>
      <w:rFonts w:asciiTheme="majorHAnsi" w:eastAsiaTheme="majorEastAsia" w:hAnsiTheme="majorHAnsi" w:cstheme="majorBidi"/>
      <w:sz w:val="18"/>
      <w:szCs w:val="18"/>
    </w:rPr>
  </w:style>
  <w:style w:type="paragraph" w:styleId="ac">
    <w:name w:val="header"/>
    <w:basedOn w:val="a"/>
    <w:link w:val="ad"/>
    <w:uiPriority w:val="99"/>
    <w:unhideWhenUsed/>
    <w:rsid w:val="00FB2EDD"/>
    <w:pPr>
      <w:tabs>
        <w:tab w:val="center" w:pos="4252"/>
        <w:tab w:val="right" w:pos="8504"/>
      </w:tabs>
      <w:snapToGrid w:val="0"/>
    </w:pPr>
  </w:style>
  <w:style w:type="character" w:customStyle="1" w:styleId="ad">
    <w:name w:val="ヘッダー (文字)"/>
    <w:basedOn w:val="a0"/>
    <w:link w:val="ac"/>
    <w:uiPriority w:val="99"/>
    <w:rsid w:val="00FB2EDD"/>
  </w:style>
  <w:style w:type="paragraph" w:styleId="ae">
    <w:name w:val="footer"/>
    <w:basedOn w:val="a"/>
    <w:link w:val="af"/>
    <w:uiPriority w:val="99"/>
    <w:unhideWhenUsed/>
    <w:rsid w:val="00FB2EDD"/>
    <w:pPr>
      <w:tabs>
        <w:tab w:val="center" w:pos="4252"/>
        <w:tab w:val="right" w:pos="8504"/>
      </w:tabs>
      <w:snapToGrid w:val="0"/>
    </w:pPr>
  </w:style>
  <w:style w:type="character" w:customStyle="1" w:styleId="af">
    <w:name w:val="フッター (文字)"/>
    <w:basedOn w:val="a0"/>
    <w:link w:val="ae"/>
    <w:uiPriority w:val="99"/>
    <w:rsid w:val="00FB2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554043"/>
    <w:pPr>
      <w:jc w:val="left"/>
    </w:pPr>
  </w:style>
  <w:style w:type="character" w:customStyle="1" w:styleId="a4">
    <w:name w:val="コメント文字列 (文字)"/>
    <w:basedOn w:val="a0"/>
    <w:link w:val="a3"/>
    <w:uiPriority w:val="99"/>
    <w:semiHidden/>
    <w:rsid w:val="00554043"/>
  </w:style>
  <w:style w:type="paragraph" w:styleId="a5">
    <w:name w:val="endnote text"/>
    <w:basedOn w:val="a"/>
    <w:link w:val="a6"/>
    <w:uiPriority w:val="99"/>
    <w:unhideWhenUsed/>
    <w:rsid w:val="00554043"/>
    <w:pPr>
      <w:snapToGrid w:val="0"/>
      <w:jc w:val="left"/>
    </w:pPr>
  </w:style>
  <w:style w:type="character" w:customStyle="1" w:styleId="a6">
    <w:name w:val="文末脚注文字列 (文字)"/>
    <w:basedOn w:val="a0"/>
    <w:link w:val="a5"/>
    <w:uiPriority w:val="99"/>
    <w:rsid w:val="00554043"/>
  </w:style>
  <w:style w:type="paragraph" w:styleId="a7">
    <w:name w:val="List Paragraph"/>
    <w:basedOn w:val="a"/>
    <w:uiPriority w:val="34"/>
    <w:qFormat/>
    <w:rsid w:val="00554043"/>
    <w:pPr>
      <w:ind w:leftChars="400" w:left="840"/>
    </w:pPr>
  </w:style>
  <w:style w:type="character" w:styleId="a8">
    <w:name w:val="annotation reference"/>
    <w:basedOn w:val="a0"/>
    <w:uiPriority w:val="99"/>
    <w:semiHidden/>
    <w:unhideWhenUsed/>
    <w:rsid w:val="00554043"/>
    <w:rPr>
      <w:sz w:val="18"/>
      <w:szCs w:val="18"/>
    </w:rPr>
  </w:style>
  <w:style w:type="character" w:styleId="a9">
    <w:name w:val="endnote reference"/>
    <w:basedOn w:val="a0"/>
    <w:uiPriority w:val="99"/>
    <w:semiHidden/>
    <w:unhideWhenUsed/>
    <w:rsid w:val="00554043"/>
    <w:rPr>
      <w:vertAlign w:val="superscript"/>
    </w:rPr>
  </w:style>
  <w:style w:type="paragraph" w:styleId="aa">
    <w:name w:val="Balloon Text"/>
    <w:basedOn w:val="a"/>
    <w:link w:val="ab"/>
    <w:uiPriority w:val="99"/>
    <w:semiHidden/>
    <w:unhideWhenUsed/>
    <w:rsid w:val="005540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54043"/>
    <w:rPr>
      <w:rFonts w:asciiTheme="majorHAnsi" w:eastAsiaTheme="majorEastAsia" w:hAnsiTheme="majorHAnsi" w:cstheme="majorBidi"/>
      <w:sz w:val="18"/>
      <w:szCs w:val="18"/>
    </w:rPr>
  </w:style>
  <w:style w:type="paragraph" w:styleId="ac">
    <w:name w:val="header"/>
    <w:basedOn w:val="a"/>
    <w:link w:val="ad"/>
    <w:uiPriority w:val="99"/>
    <w:unhideWhenUsed/>
    <w:rsid w:val="00FB2EDD"/>
    <w:pPr>
      <w:tabs>
        <w:tab w:val="center" w:pos="4252"/>
        <w:tab w:val="right" w:pos="8504"/>
      </w:tabs>
      <w:snapToGrid w:val="0"/>
    </w:pPr>
  </w:style>
  <w:style w:type="character" w:customStyle="1" w:styleId="ad">
    <w:name w:val="ヘッダー (文字)"/>
    <w:basedOn w:val="a0"/>
    <w:link w:val="ac"/>
    <w:uiPriority w:val="99"/>
    <w:rsid w:val="00FB2EDD"/>
  </w:style>
  <w:style w:type="paragraph" w:styleId="ae">
    <w:name w:val="footer"/>
    <w:basedOn w:val="a"/>
    <w:link w:val="af"/>
    <w:uiPriority w:val="99"/>
    <w:unhideWhenUsed/>
    <w:rsid w:val="00FB2EDD"/>
    <w:pPr>
      <w:tabs>
        <w:tab w:val="center" w:pos="4252"/>
        <w:tab w:val="right" w:pos="8504"/>
      </w:tabs>
      <w:snapToGrid w:val="0"/>
    </w:pPr>
  </w:style>
  <w:style w:type="character" w:customStyle="1" w:styleId="af">
    <w:name w:val="フッター (文字)"/>
    <w:basedOn w:val="a0"/>
    <w:link w:val="ae"/>
    <w:uiPriority w:val="99"/>
    <w:rsid w:val="00FB2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01910">
      <w:bodyDiv w:val="1"/>
      <w:marLeft w:val="0"/>
      <w:marRight w:val="0"/>
      <w:marTop w:val="0"/>
      <w:marBottom w:val="0"/>
      <w:divBdr>
        <w:top w:val="none" w:sz="0" w:space="0" w:color="auto"/>
        <w:left w:val="none" w:sz="0" w:space="0" w:color="auto"/>
        <w:bottom w:val="none" w:sz="0" w:space="0" w:color="auto"/>
        <w:right w:val="none" w:sz="0" w:space="0" w:color="auto"/>
      </w:divBdr>
    </w:div>
    <w:div w:id="556205464">
      <w:bodyDiv w:val="1"/>
      <w:marLeft w:val="0"/>
      <w:marRight w:val="0"/>
      <w:marTop w:val="0"/>
      <w:marBottom w:val="0"/>
      <w:divBdr>
        <w:top w:val="none" w:sz="0" w:space="0" w:color="auto"/>
        <w:left w:val="none" w:sz="0" w:space="0" w:color="auto"/>
        <w:bottom w:val="none" w:sz="0" w:space="0" w:color="auto"/>
        <w:right w:val="none" w:sz="0" w:space="0" w:color="auto"/>
      </w:divBdr>
    </w:div>
    <w:div w:id="582109063">
      <w:bodyDiv w:val="1"/>
      <w:marLeft w:val="0"/>
      <w:marRight w:val="0"/>
      <w:marTop w:val="0"/>
      <w:marBottom w:val="0"/>
      <w:divBdr>
        <w:top w:val="none" w:sz="0" w:space="0" w:color="auto"/>
        <w:left w:val="none" w:sz="0" w:space="0" w:color="auto"/>
        <w:bottom w:val="none" w:sz="0" w:space="0" w:color="auto"/>
        <w:right w:val="none" w:sz="0" w:space="0" w:color="auto"/>
      </w:divBdr>
    </w:div>
    <w:div w:id="825828688">
      <w:bodyDiv w:val="1"/>
      <w:marLeft w:val="0"/>
      <w:marRight w:val="0"/>
      <w:marTop w:val="0"/>
      <w:marBottom w:val="0"/>
      <w:divBdr>
        <w:top w:val="none" w:sz="0" w:space="0" w:color="auto"/>
        <w:left w:val="none" w:sz="0" w:space="0" w:color="auto"/>
        <w:bottom w:val="none" w:sz="0" w:space="0" w:color="auto"/>
        <w:right w:val="none" w:sz="0" w:space="0" w:color="auto"/>
      </w:divBdr>
    </w:div>
    <w:div w:id="910039156">
      <w:bodyDiv w:val="1"/>
      <w:marLeft w:val="0"/>
      <w:marRight w:val="0"/>
      <w:marTop w:val="0"/>
      <w:marBottom w:val="0"/>
      <w:divBdr>
        <w:top w:val="none" w:sz="0" w:space="0" w:color="auto"/>
        <w:left w:val="none" w:sz="0" w:space="0" w:color="auto"/>
        <w:bottom w:val="none" w:sz="0" w:space="0" w:color="auto"/>
        <w:right w:val="none" w:sz="0" w:space="0" w:color="auto"/>
      </w:divBdr>
    </w:div>
    <w:div w:id="1286353416">
      <w:bodyDiv w:val="1"/>
      <w:marLeft w:val="0"/>
      <w:marRight w:val="0"/>
      <w:marTop w:val="0"/>
      <w:marBottom w:val="0"/>
      <w:divBdr>
        <w:top w:val="none" w:sz="0" w:space="0" w:color="auto"/>
        <w:left w:val="none" w:sz="0" w:space="0" w:color="auto"/>
        <w:bottom w:val="none" w:sz="0" w:space="0" w:color="auto"/>
        <w:right w:val="none" w:sz="0" w:space="0" w:color="auto"/>
      </w:divBdr>
    </w:div>
    <w:div w:id="1702438732">
      <w:bodyDiv w:val="1"/>
      <w:marLeft w:val="0"/>
      <w:marRight w:val="0"/>
      <w:marTop w:val="0"/>
      <w:marBottom w:val="0"/>
      <w:divBdr>
        <w:top w:val="none" w:sz="0" w:space="0" w:color="auto"/>
        <w:left w:val="none" w:sz="0" w:space="0" w:color="auto"/>
        <w:bottom w:val="none" w:sz="0" w:space="0" w:color="auto"/>
        <w:right w:val="none" w:sz="0" w:space="0" w:color="auto"/>
      </w:divBdr>
    </w:div>
    <w:div w:id="19855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home.edu.i.hosei.ac.jp\10f1952\&#12476;&#12511;\&#27515;&#20129;&#32773;&#20104;&#28204;&#12288;&#21307;&#30274;&#36027;&#20104;&#2820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ile.home.edu.i.hosei.ac.jp\10f1952\&#12476;&#12511;\&#27515;&#20129;&#32773;&#20104;&#28204;&#12288;&#21307;&#30274;&#36027;&#20104;&#28204;.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ile.home.edu.i.hosei.ac.jp\10f1952\&#12476;&#12511;\&#27515;&#20129;&#32773;&#20104;&#28204;&#12288;&#21307;&#30274;&#36027;&#20104;&#28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死亡者数と国民医療費の推移</a:t>
            </a:r>
            <a:endParaRPr lang="en-US" altLang="ja-JP"/>
          </a:p>
          <a:p>
            <a:pPr>
              <a:defRPr/>
            </a:pPr>
            <a:r>
              <a:rPr lang="ja-JP" altLang="en-US"/>
              <a:t>（１９９３～２０１１）</a:t>
            </a:r>
          </a:p>
        </c:rich>
      </c:tx>
      <c:layout/>
      <c:overlay val="0"/>
    </c:title>
    <c:autoTitleDeleted val="0"/>
    <c:plotArea>
      <c:layout/>
      <c:scatterChart>
        <c:scatterStyle val="lineMarker"/>
        <c:varyColors val="0"/>
        <c:ser>
          <c:idx val="0"/>
          <c:order val="0"/>
          <c:spPr>
            <a:ln w="28575">
              <a:noFill/>
            </a:ln>
          </c:spPr>
          <c:trendline>
            <c:trendlineType val="linear"/>
            <c:dispRSqr val="1"/>
            <c:dispEq val="1"/>
            <c:trendlineLbl>
              <c:layout>
                <c:manualLayout>
                  <c:x val="-0.52770058241870899"/>
                  <c:y val="2.2968732169348399E-3"/>
                </c:manualLayout>
              </c:layout>
              <c:tx>
                <c:rich>
                  <a:bodyPr/>
                  <a:lstStyle/>
                  <a:p>
                    <a:pPr>
                      <a:defRPr/>
                    </a:pPr>
                    <a:r>
                      <a:rPr lang="en-US" altLang="en-US" baseline="0"/>
                      <a:t>y = 0.325x - 1.656
R² = 0.938</a:t>
                    </a:r>
                    <a:endParaRPr lang="en-US" altLang="en-US"/>
                  </a:p>
                </c:rich>
              </c:tx>
              <c:numFmt formatCode="General" sourceLinked="0"/>
            </c:trendlineLbl>
          </c:trendline>
          <c:trendline>
            <c:trendlineType val="linear"/>
            <c:dispRSqr val="0"/>
            <c:dispEq val="0"/>
          </c:trendline>
          <c:xVal>
            <c:numRef>
              <c:f>Sheet1!$B$6:$B$24</c:f>
              <c:numCache>
                <c:formatCode>General</c:formatCode>
                <c:ptCount val="19"/>
                <c:pt idx="0">
                  <c:v>87.9</c:v>
                </c:pt>
                <c:pt idx="1">
                  <c:v>87.5</c:v>
                </c:pt>
                <c:pt idx="2">
                  <c:v>92.2</c:v>
                </c:pt>
                <c:pt idx="3">
                  <c:v>89.6</c:v>
                </c:pt>
                <c:pt idx="4">
                  <c:v>91.3</c:v>
                </c:pt>
                <c:pt idx="5">
                  <c:v>93.6</c:v>
                </c:pt>
                <c:pt idx="6">
                  <c:v>98.2</c:v>
                </c:pt>
                <c:pt idx="7">
                  <c:v>96.2</c:v>
                </c:pt>
                <c:pt idx="8">
                  <c:v>97</c:v>
                </c:pt>
                <c:pt idx="9">
                  <c:v>98.2</c:v>
                </c:pt>
                <c:pt idx="10">
                  <c:v>101.5</c:v>
                </c:pt>
                <c:pt idx="11">
                  <c:v>102.9</c:v>
                </c:pt>
                <c:pt idx="12">
                  <c:v>108.4</c:v>
                </c:pt>
                <c:pt idx="13">
                  <c:v>108.4</c:v>
                </c:pt>
                <c:pt idx="14">
                  <c:v>110.8</c:v>
                </c:pt>
                <c:pt idx="15">
                  <c:v>114.2</c:v>
                </c:pt>
                <c:pt idx="16">
                  <c:v>114.2</c:v>
                </c:pt>
                <c:pt idx="17">
                  <c:v>119.7</c:v>
                </c:pt>
                <c:pt idx="18">
                  <c:v>125.3</c:v>
                </c:pt>
              </c:numCache>
            </c:numRef>
          </c:xVal>
          <c:yVal>
            <c:numRef>
              <c:f>Sheet1!$C$6:$C$24</c:f>
              <c:numCache>
                <c:formatCode>General</c:formatCode>
                <c:ptCount val="19"/>
                <c:pt idx="0">
                  <c:v>24.4</c:v>
                </c:pt>
                <c:pt idx="1">
                  <c:v>25.8</c:v>
                </c:pt>
                <c:pt idx="2">
                  <c:v>27</c:v>
                </c:pt>
                <c:pt idx="3">
                  <c:v>28.5</c:v>
                </c:pt>
                <c:pt idx="4">
                  <c:v>28.9</c:v>
                </c:pt>
                <c:pt idx="5">
                  <c:v>29.6</c:v>
                </c:pt>
                <c:pt idx="6">
                  <c:v>30.7</c:v>
                </c:pt>
                <c:pt idx="7">
                  <c:v>30.1</c:v>
                </c:pt>
                <c:pt idx="8">
                  <c:v>31.1</c:v>
                </c:pt>
                <c:pt idx="9">
                  <c:v>31</c:v>
                </c:pt>
                <c:pt idx="10">
                  <c:v>31.5</c:v>
                </c:pt>
                <c:pt idx="11">
                  <c:v>32.1</c:v>
                </c:pt>
                <c:pt idx="12">
                  <c:v>33.1</c:v>
                </c:pt>
                <c:pt idx="13">
                  <c:v>33.1</c:v>
                </c:pt>
                <c:pt idx="14">
                  <c:v>34.1</c:v>
                </c:pt>
                <c:pt idx="15">
                  <c:v>34.800000000000011</c:v>
                </c:pt>
                <c:pt idx="16">
                  <c:v>36</c:v>
                </c:pt>
                <c:pt idx="17">
                  <c:v>37.4</c:v>
                </c:pt>
                <c:pt idx="18">
                  <c:v>38.5</c:v>
                </c:pt>
              </c:numCache>
            </c:numRef>
          </c:yVal>
          <c:smooth val="0"/>
        </c:ser>
        <c:dLbls>
          <c:showLegendKey val="0"/>
          <c:showVal val="0"/>
          <c:showCatName val="0"/>
          <c:showSerName val="0"/>
          <c:showPercent val="0"/>
          <c:showBubbleSize val="0"/>
        </c:dLbls>
        <c:axId val="88322816"/>
        <c:axId val="88324352"/>
      </c:scatterChart>
      <c:valAx>
        <c:axId val="88322816"/>
        <c:scaling>
          <c:orientation val="minMax"/>
          <c:max val="130"/>
          <c:min val="85"/>
        </c:scaling>
        <c:delete val="0"/>
        <c:axPos val="b"/>
        <c:numFmt formatCode="General" sourceLinked="1"/>
        <c:majorTickMark val="out"/>
        <c:minorTickMark val="none"/>
        <c:tickLblPos val="nextTo"/>
        <c:crossAx val="88324352"/>
        <c:crosses val="autoZero"/>
        <c:crossBetween val="midCat"/>
      </c:valAx>
      <c:valAx>
        <c:axId val="88324352"/>
        <c:scaling>
          <c:orientation val="minMax"/>
          <c:min val="23"/>
        </c:scaling>
        <c:delete val="0"/>
        <c:axPos val="l"/>
        <c:majorGridlines/>
        <c:numFmt formatCode="General" sourceLinked="1"/>
        <c:majorTickMark val="out"/>
        <c:minorTickMark val="none"/>
        <c:tickLblPos val="nextTo"/>
        <c:crossAx val="88322816"/>
        <c:crosses val="autoZero"/>
        <c:crossBetween val="midCat"/>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２０００年～２０１２年の</a:t>
            </a:r>
            <a:endParaRPr lang="en-US" altLang="ja-JP"/>
          </a:p>
          <a:p>
            <a:pPr>
              <a:defRPr/>
            </a:pPr>
            <a:r>
              <a:rPr lang="ja-JP" altLang="en-US"/>
              <a:t>介護費の推移</a:t>
            </a:r>
          </a:p>
        </c:rich>
      </c:tx>
      <c:layout/>
      <c:overlay val="0"/>
    </c:title>
    <c:autoTitleDeleted val="0"/>
    <c:plotArea>
      <c:layout/>
      <c:scatterChart>
        <c:scatterStyle val="lineMarker"/>
        <c:varyColors val="0"/>
        <c:ser>
          <c:idx val="0"/>
          <c:order val="0"/>
          <c:spPr>
            <a:ln w="28575">
              <a:noFill/>
            </a:ln>
          </c:spPr>
          <c:dLbls>
            <c:txPr>
              <a:bodyPr/>
              <a:lstStyle/>
              <a:p>
                <a:pPr>
                  <a:defRPr>
                    <a:solidFill>
                      <a:srgbClr val="FF0000"/>
                    </a:solidFill>
                  </a:defRPr>
                </a:pPr>
                <a:endParaRPr lang="ja-JP"/>
              </a:p>
            </c:txPr>
            <c:showLegendKey val="0"/>
            <c:showVal val="1"/>
            <c:showCatName val="0"/>
            <c:showSerName val="0"/>
            <c:showPercent val="0"/>
            <c:showBubbleSize val="0"/>
            <c:showLeaderLines val="0"/>
          </c:dLbls>
          <c:xVal>
            <c:numRef>
              <c:f>Sheet3!$B$2:$B$14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xVal>
          <c:yVal>
            <c:numRef>
              <c:f>Sheet3!$E$2:$E$14</c:f>
              <c:numCache>
                <c:formatCode>General</c:formatCode>
                <c:ptCount val="13"/>
                <c:pt idx="0">
                  <c:v>3.6</c:v>
                </c:pt>
                <c:pt idx="1">
                  <c:v>4.5999999999999996</c:v>
                </c:pt>
                <c:pt idx="2">
                  <c:v>5.2</c:v>
                </c:pt>
                <c:pt idx="3">
                  <c:v>5.7</c:v>
                </c:pt>
                <c:pt idx="4">
                  <c:v>6.2</c:v>
                </c:pt>
                <c:pt idx="5">
                  <c:v>6.4</c:v>
                </c:pt>
                <c:pt idx="6">
                  <c:v>6.4</c:v>
                </c:pt>
                <c:pt idx="7">
                  <c:v>6.7</c:v>
                </c:pt>
                <c:pt idx="8">
                  <c:v>6.9</c:v>
                </c:pt>
                <c:pt idx="9">
                  <c:v>7.4</c:v>
                </c:pt>
                <c:pt idx="10">
                  <c:v>7.8</c:v>
                </c:pt>
                <c:pt idx="11">
                  <c:v>8.3000000000000007</c:v>
                </c:pt>
                <c:pt idx="12">
                  <c:v>8.9</c:v>
                </c:pt>
              </c:numCache>
            </c:numRef>
          </c:yVal>
          <c:smooth val="0"/>
        </c:ser>
        <c:dLbls>
          <c:showLegendKey val="0"/>
          <c:showVal val="0"/>
          <c:showCatName val="0"/>
          <c:showSerName val="0"/>
          <c:showPercent val="0"/>
          <c:showBubbleSize val="0"/>
        </c:dLbls>
        <c:axId val="67024384"/>
        <c:axId val="67025920"/>
      </c:scatterChart>
      <c:valAx>
        <c:axId val="67024384"/>
        <c:scaling>
          <c:orientation val="minMax"/>
          <c:max val="2012"/>
          <c:min val="2000"/>
        </c:scaling>
        <c:delete val="0"/>
        <c:axPos val="b"/>
        <c:numFmt formatCode="General" sourceLinked="1"/>
        <c:majorTickMark val="out"/>
        <c:minorTickMark val="none"/>
        <c:tickLblPos val="nextTo"/>
        <c:crossAx val="67025920"/>
        <c:crosses val="autoZero"/>
        <c:crossBetween val="midCat"/>
        <c:majorUnit val="1"/>
      </c:valAx>
      <c:valAx>
        <c:axId val="67025920"/>
        <c:scaling>
          <c:orientation val="minMax"/>
          <c:max val="9"/>
          <c:min val="3.5"/>
        </c:scaling>
        <c:delete val="0"/>
        <c:axPos val="l"/>
        <c:majorGridlines/>
        <c:numFmt formatCode="General" sourceLinked="1"/>
        <c:majorTickMark val="out"/>
        <c:minorTickMark val="none"/>
        <c:tickLblPos val="nextTo"/>
        <c:crossAx val="67024384"/>
        <c:crosses val="autoZero"/>
        <c:crossBetween val="midCat"/>
        <c:majorUnit val="0.5"/>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２０１５年～２０６０年　</a:t>
            </a:r>
            <a:endParaRPr lang="en-US" altLang="ja-JP"/>
          </a:p>
          <a:p>
            <a:pPr>
              <a:defRPr/>
            </a:pPr>
            <a:r>
              <a:rPr lang="ja-JP" altLang="en-US"/>
              <a:t>介護費の将来推計</a:t>
            </a:r>
          </a:p>
        </c:rich>
      </c:tx>
      <c:layout/>
      <c:overlay val="0"/>
    </c:title>
    <c:autoTitleDeleted val="0"/>
    <c:plotArea>
      <c:layout/>
      <c:lineChart>
        <c:grouping val="standard"/>
        <c:varyColors val="0"/>
        <c:ser>
          <c:idx val="0"/>
          <c:order val="0"/>
          <c:marker>
            <c:symbol val="square"/>
            <c:size val="5"/>
          </c:marker>
          <c:dLbls>
            <c:dLbl>
              <c:idx val="5"/>
              <c:layout>
                <c:manualLayout>
                  <c:x val="7.6923061392476996E-3"/>
                  <c:y val="3.8585209003215402E-2"/>
                </c:manualLayout>
              </c:layout>
              <c:showLegendKey val="0"/>
              <c:showVal val="1"/>
              <c:showCatName val="0"/>
              <c:showSerName val="0"/>
              <c:showPercent val="0"/>
              <c:showBubbleSize val="0"/>
            </c:dLbl>
            <c:dLbl>
              <c:idx val="6"/>
              <c:layout>
                <c:manualLayout>
                  <c:x val="0"/>
                  <c:y val="4.7159699892818902E-2"/>
                </c:manualLayout>
              </c:layout>
              <c:showLegendKey val="0"/>
              <c:showVal val="1"/>
              <c:showCatName val="0"/>
              <c:showSerName val="0"/>
              <c:showPercent val="0"/>
              <c:showBubbleSize val="0"/>
            </c:dLbl>
            <c:dLbl>
              <c:idx val="7"/>
              <c:layout>
                <c:manualLayout>
                  <c:x val="2.5639001486169699E-3"/>
                  <c:y val="4.2872454448017197E-2"/>
                </c:manualLayout>
              </c:layout>
              <c:showLegendKey val="0"/>
              <c:showVal val="1"/>
              <c:showCatName val="0"/>
              <c:showSerName val="0"/>
              <c:showPercent val="0"/>
              <c:showBubbleSize val="0"/>
            </c:dLbl>
            <c:dLbl>
              <c:idx val="8"/>
              <c:layout>
                <c:manualLayout>
                  <c:x val="7.6923061392476996E-3"/>
                  <c:y val="4.2872454448017197E-2"/>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Sheet7!$B$41:$B$50</c:f>
              <c:strCache>
                <c:ptCount val="10"/>
                <c:pt idx="0">
                  <c:v>２０１５年</c:v>
                </c:pt>
                <c:pt idx="1">
                  <c:v>２０２０年</c:v>
                </c:pt>
                <c:pt idx="2">
                  <c:v>２０２５年</c:v>
                </c:pt>
                <c:pt idx="3">
                  <c:v>２０３０年</c:v>
                </c:pt>
                <c:pt idx="4">
                  <c:v>２０３５年</c:v>
                </c:pt>
                <c:pt idx="5">
                  <c:v>２０４０年</c:v>
                </c:pt>
                <c:pt idx="6">
                  <c:v>２０４５年</c:v>
                </c:pt>
                <c:pt idx="7">
                  <c:v>２０５０年</c:v>
                </c:pt>
                <c:pt idx="8">
                  <c:v>２０５５年</c:v>
                </c:pt>
                <c:pt idx="9">
                  <c:v>２０６０年</c:v>
                </c:pt>
              </c:strCache>
            </c:strRef>
          </c:cat>
          <c:val>
            <c:numRef>
              <c:f>Sheet7!$E$41:$E$50</c:f>
              <c:numCache>
                <c:formatCode>0.0</c:formatCode>
                <c:ptCount val="10"/>
                <c:pt idx="0">
                  <c:v>9.398335956824825</c:v>
                </c:pt>
                <c:pt idx="1">
                  <c:v>11.08147065437374</c:v>
                </c:pt>
                <c:pt idx="2">
                  <c:v>12.558466381830449</c:v>
                </c:pt>
                <c:pt idx="3">
                  <c:v>13.751270519451319</c:v>
                </c:pt>
                <c:pt idx="4">
                  <c:v>14.97809759388352</c:v>
                </c:pt>
                <c:pt idx="5">
                  <c:v>15.57850236114235</c:v>
                </c:pt>
                <c:pt idx="6">
                  <c:v>15.536474027434229</c:v>
                </c:pt>
                <c:pt idx="7">
                  <c:v>15.47643355070835</c:v>
                </c:pt>
                <c:pt idx="8">
                  <c:v>15.79865077580391</c:v>
                </c:pt>
                <c:pt idx="9">
                  <c:v>16.407060939959521</c:v>
                </c:pt>
              </c:numCache>
            </c:numRef>
          </c:val>
          <c:smooth val="0"/>
        </c:ser>
        <c:dLbls>
          <c:showLegendKey val="0"/>
          <c:showVal val="0"/>
          <c:showCatName val="0"/>
          <c:showSerName val="0"/>
          <c:showPercent val="0"/>
          <c:showBubbleSize val="0"/>
        </c:dLbls>
        <c:marker val="1"/>
        <c:smooth val="0"/>
        <c:axId val="89010176"/>
        <c:axId val="89011712"/>
      </c:lineChart>
      <c:catAx>
        <c:axId val="89010176"/>
        <c:scaling>
          <c:orientation val="minMax"/>
        </c:scaling>
        <c:delete val="0"/>
        <c:axPos val="b"/>
        <c:majorTickMark val="out"/>
        <c:minorTickMark val="none"/>
        <c:tickLblPos val="nextTo"/>
        <c:crossAx val="89011712"/>
        <c:crosses val="autoZero"/>
        <c:auto val="1"/>
        <c:lblAlgn val="ctr"/>
        <c:lblOffset val="100"/>
        <c:noMultiLvlLbl val="0"/>
      </c:catAx>
      <c:valAx>
        <c:axId val="89011712"/>
        <c:scaling>
          <c:orientation val="minMax"/>
          <c:min val="9"/>
        </c:scaling>
        <c:delete val="0"/>
        <c:axPos val="l"/>
        <c:majorGridlines/>
        <c:numFmt formatCode="0.0" sourceLinked="1"/>
        <c:majorTickMark val="out"/>
        <c:minorTickMark val="none"/>
        <c:tickLblPos val="nextTo"/>
        <c:crossAx val="89010176"/>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1.78246E-7</cdr:x>
      <cdr:y>0.06522</cdr:y>
    </cdr:from>
    <cdr:to>
      <cdr:x>0.04584</cdr:x>
      <cdr:y>0.14402</cdr:y>
    </cdr:to>
    <cdr:sp macro="" textlink="">
      <cdr:nvSpPr>
        <cdr:cNvPr id="2" name="テキスト ボックス 1"/>
        <cdr:cNvSpPr txBox="1"/>
      </cdr:nvSpPr>
      <cdr:spPr>
        <a:xfrm xmlns:a="http://schemas.openxmlformats.org/drawingml/2006/main">
          <a:off x="1" y="228600"/>
          <a:ext cx="2571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兆</a:t>
          </a:r>
          <a:endParaRPr lang="en-US" altLang="ja-JP" sz="1100"/>
        </a:p>
        <a:p xmlns:a="http://schemas.openxmlformats.org/drawingml/2006/main">
          <a:endParaRPr lang="ja-JP" altLang="en-US" sz="1100"/>
        </a:p>
      </cdr:txBody>
    </cdr:sp>
  </cdr:relSizeAnchor>
  <cdr:relSizeAnchor xmlns:cdr="http://schemas.openxmlformats.org/drawingml/2006/chartDrawing">
    <cdr:from>
      <cdr:x>0.94737</cdr:x>
      <cdr:y>0.8587</cdr:y>
    </cdr:from>
    <cdr:to>
      <cdr:x>0.9966</cdr:x>
      <cdr:y>0.93478</cdr:y>
    </cdr:to>
    <cdr:sp macro="" textlink="">
      <cdr:nvSpPr>
        <cdr:cNvPr id="3" name="テキスト ボックス 2"/>
        <cdr:cNvSpPr txBox="1"/>
      </cdr:nvSpPr>
      <cdr:spPr>
        <a:xfrm xmlns:a="http://schemas.openxmlformats.org/drawingml/2006/main">
          <a:off x="5314951" y="3009900"/>
          <a:ext cx="2762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万</a:t>
          </a:r>
        </a:p>
      </cdr:txBody>
    </cdr:sp>
  </cdr:relSizeAnchor>
</c:userShapes>
</file>

<file path=word/drawings/drawing2.xml><?xml version="1.0" encoding="utf-8"?>
<c:userShapes xmlns:c="http://schemas.openxmlformats.org/drawingml/2006/chart">
  <cdr:relSizeAnchor xmlns:cdr="http://schemas.openxmlformats.org/drawingml/2006/chartDrawing">
    <cdr:from>
      <cdr:x>0.01526</cdr:x>
      <cdr:y>0.05208</cdr:y>
    </cdr:from>
    <cdr:to>
      <cdr:x>0.08444</cdr:x>
      <cdr:y>0.15972</cdr:y>
    </cdr:to>
    <cdr:sp macro="" textlink="">
      <cdr:nvSpPr>
        <cdr:cNvPr id="2" name="テキスト ボックス 1"/>
        <cdr:cNvSpPr txBox="1"/>
      </cdr:nvSpPr>
      <cdr:spPr>
        <a:xfrm xmlns:a="http://schemas.openxmlformats.org/drawingml/2006/main">
          <a:off x="71438" y="142875"/>
          <a:ext cx="32385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兆</a:t>
          </a:r>
        </a:p>
      </cdr:txBody>
    </cdr:sp>
  </cdr:relSizeAnchor>
  <cdr:relSizeAnchor xmlns:cdr="http://schemas.openxmlformats.org/drawingml/2006/chartDrawing">
    <cdr:from>
      <cdr:x>0.93693</cdr:x>
      <cdr:y>0.80903</cdr:y>
    </cdr:from>
    <cdr:to>
      <cdr:x>0.99593</cdr:x>
      <cdr:y>0.91319</cdr:y>
    </cdr:to>
    <cdr:sp macro="" textlink="">
      <cdr:nvSpPr>
        <cdr:cNvPr id="3" name="テキスト ボックス 2"/>
        <cdr:cNvSpPr txBox="1"/>
      </cdr:nvSpPr>
      <cdr:spPr>
        <a:xfrm xmlns:a="http://schemas.openxmlformats.org/drawingml/2006/main">
          <a:off x="4386263" y="2219325"/>
          <a:ext cx="27622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年</a:t>
          </a:r>
        </a:p>
      </cdr:txBody>
    </cdr:sp>
  </cdr:relSizeAnchor>
</c:userShapes>
</file>

<file path=word/drawings/drawing3.xml><?xml version="1.0" encoding="utf-8"?>
<c:userShapes xmlns:c="http://schemas.openxmlformats.org/drawingml/2006/chart">
  <cdr:relSizeAnchor xmlns:cdr="http://schemas.openxmlformats.org/drawingml/2006/chartDrawing">
    <cdr:from>
      <cdr:x>0.00962</cdr:x>
      <cdr:y>0.15113</cdr:y>
    </cdr:from>
    <cdr:to>
      <cdr:x>0.06731</cdr:x>
      <cdr:y>0.2508</cdr:y>
    </cdr:to>
    <cdr:sp macro="" textlink="">
      <cdr:nvSpPr>
        <cdr:cNvPr id="2" name="テキスト ボックス 1"/>
        <cdr:cNvSpPr txBox="1"/>
      </cdr:nvSpPr>
      <cdr:spPr>
        <a:xfrm xmlns:a="http://schemas.openxmlformats.org/drawingml/2006/main">
          <a:off x="47626" y="447676"/>
          <a:ext cx="28575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兆</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3CFBA-0765-45D2-8852-5463E2CB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12</Pages>
  <Words>979</Words>
  <Characters>5583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edu2011</cp:lastModifiedBy>
  <cp:revision>4</cp:revision>
  <cp:lastPrinted>2014-01-15T06:07:00Z</cp:lastPrinted>
  <dcterms:created xsi:type="dcterms:W3CDTF">2014-01-15T06:12:00Z</dcterms:created>
  <dcterms:modified xsi:type="dcterms:W3CDTF">2014-01-21T06:33:00Z</dcterms:modified>
</cp:coreProperties>
</file>